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25D2" w14:textId="77777777" w:rsidR="00CC1BEB" w:rsidRPr="00A21198" w:rsidRDefault="00CC1BEB" w:rsidP="00CC1BEB">
      <w:pPr>
        <w:spacing w:line="360" w:lineRule="auto"/>
        <w:jc w:val="both"/>
        <w:rPr>
          <w:rFonts w:ascii="David" w:hAnsi="David" w:cs="David"/>
          <w:b/>
          <w:bCs/>
          <w:sz w:val="24"/>
          <w:szCs w:val="24"/>
          <w:rtl/>
        </w:rPr>
      </w:pPr>
      <w:bookmarkStart w:id="0" w:name="_Hlk173351667"/>
      <w:r>
        <w:rPr>
          <w:rFonts w:ascii="David" w:hAnsi="David" w:cs="David" w:hint="cs"/>
          <w:b/>
          <w:bCs/>
          <w:sz w:val="24"/>
          <w:szCs w:val="24"/>
          <w:rtl/>
        </w:rPr>
        <w:t>סוגי</w:t>
      </w:r>
      <w:r w:rsidRPr="00A21198">
        <w:rPr>
          <w:rFonts w:ascii="David" w:hAnsi="David" w:cs="David" w:hint="cs"/>
          <w:b/>
          <w:bCs/>
          <w:sz w:val="24"/>
          <w:szCs w:val="24"/>
          <w:rtl/>
        </w:rPr>
        <w:t xml:space="preserve"> 'הון' בקרב מנהלות בתי ספר</w:t>
      </w:r>
      <w:r>
        <w:rPr>
          <w:rFonts w:ascii="David" w:hAnsi="David" w:cs="David" w:hint="cs"/>
          <w:b/>
          <w:bCs/>
          <w:sz w:val="24"/>
          <w:szCs w:val="24"/>
          <w:rtl/>
        </w:rPr>
        <w:t xml:space="preserve"> ומעורבות הורים</w:t>
      </w:r>
      <w:r w:rsidRPr="00A21198">
        <w:rPr>
          <w:rFonts w:ascii="David" w:hAnsi="David" w:cs="David" w:hint="cs"/>
          <w:b/>
          <w:bCs/>
          <w:sz w:val="24"/>
          <w:szCs w:val="24"/>
          <w:rtl/>
        </w:rPr>
        <w:t xml:space="preserve">: היבטים של כוח וסמכות בבניית שותפות עם </w:t>
      </w:r>
      <w:r>
        <w:rPr>
          <w:rFonts w:ascii="David" w:hAnsi="David" w:cs="David" w:hint="cs"/>
          <w:b/>
          <w:bCs/>
          <w:sz w:val="24"/>
          <w:szCs w:val="24"/>
          <w:rtl/>
        </w:rPr>
        <w:t>הורים ו</w:t>
      </w:r>
      <w:r w:rsidRPr="00A21198">
        <w:rPr>
          <w:rFonts w:ascii="David" w:hAnsi="David" w:cs="David" w:hint="cs"/>
          <w:b/>
          <w:bCs/>
          <w:sz w:val="24"/>
          <w:szCs w:val="24"/>
          <w:rtl/>
        </w:rPr>
        <w:t xml:space="preserve">ועדי ההורים </w:t>
      </w:r>
      <w:r>
        <w:rPr>
          <w:rFonts w:ascii="David" w:hAnsi="David" w:cs="David" w:hint="cs"/>
          <w:b/>
          <w:bCs/>
          <w:sz w:val="24"/>
          <w:szCs w:val="24"/>
          <w:rtl/>
        </w:rPr>
        <w:t xml:space="preserve">בתקופות של משבר ואי ודאות </w:t>
      </w:r>
    </w:p>
    <w:bookmarkEnd w:id="0"/>
    <w:p w14:paraId="38F06E7F" w14:textId="1109448F" w:rsidR="008939D9" w:rsidRDefault="008939D9" w:rsidP="00A84C7C">
      <w:pPr>
        <w:spacing w:line="360" w:lineRule="auto"/>
        <w:jc w:val="both"/>
        <w:rPr>
          <w:rFonts w:ascii="David" w:hAnsi="David" w:cs="David"/>
          <w:sz w:val="24"/>
          <w:szCs w:val="24"/>
          <w:rtl/>
        </w:rPr>
      </w:pPr>
      <w:r w:rsidRPr="008939D9">
        <w:rPr>
          <w:rFonts w:ascii="David" w:hAnsi="David" w:cs="David"/>
          <w:sz w:val="24"/>
          <w:szCs w:val="24"/>
          <w:rtl/>
        </w:rPr>
        <w:t xml:space="preserve">בעשורים האחרונים, מדיניות ניאו-ליברלית והשפעות השוק החופשי שינו באופן מהותי את יחסי הגומלין בין בתי הספר לסביבתם, לרבות </w:t>
      </w:r>
      <w:r w:rsidRPr="00CA64CE">
        <w:rPr>
          <w:rFonts w:ascii="David" w:hAnsi="David" w:cs="David"/>
          <w:sz w:val="24"/>
          <w:szCs w:val="24"/>
          <w:rtl/>
        </w:rPr>
        <w:t>בישראל</w:t>
      </w:r>
      <w:r w:rsidRPr="00CA64CE">
        <w:rPr>
          <w:rFonts w:ascii="David" w:hAnsi="David" w:cs="David"/>
          <w:sz w:val="24"/>
          <w:szCs w:val="24"/>
        </w:rPr>
        <w:t xml:space="preserve"> (Corcoran &amp; Cordes, 2017; Keddie, </w:t>
      </w:r>
      <w:r w:rsidRPr="00CA64CE">
        <w:rPr>
          <w:rFonts w:ascii="David" w:hAnsi="David" w:cs="David"/>
          <w:i/>
          <w:iCs/>
          <w:sz w:val="24"/>
          <w:szCs w:val="24"/>
        </w:rPr>
        <w:t>et.al.</w:t>
      </w:r>
      <w:r w:rsidRPr="00CA64CE">
        <w:rPr>
          <w:rFonts w:ascii="David" w:hAnsi="David" w:cs="David"/>
          <w:sz w:val="24"/>
          <w:szCs w:val="24"/>
        </w:rPr>
        <w:t>,</w:t>
      </w:r>
      <w:r w:rsidR="00A84C7C" w:rsidRPr="00CA64CE">
        <w:rPr>
          <w:rFonts w:ascii="David" w:hAnsi="David" w:cs="David"/>
          <w:sz w:val="24"/>
          <w:szCs w:val="24"/>
        </w:rPr>
        <w:t xml:space="preserve"> </w:t>
      </w:r>
      <w:proofErr w:type="gramStart"/>
      <w:r w:rsidR="00A84C7C" w:rsidRPr="00CA64CE">
        <w:rPr>
          <w:rFonts w:ascii="David" w:hAnsi="David" w:cs="David"/>
          <w:sz w:val="24"/>
          <w:szCs w:val="24"/>
        </w:rPr>
        <w:t>2018</w:t>
      </w:r>
      <w:r w:rsidRPr="00CA64CE">
        <w:rPr>
          <w:rFonts w:ascii="David" w:hAnsi="David" w:cs="David"/>
          <w:sz w:val="24"/>
          <w:szCs w:val="24"/>
        </w:rPr>
        <w:t xml:space="preserve"> </w:t>
      </w:r>
      <w:r w:rsidR="00A84C7C" w:rsidRPr="00CA64CE">
        <w:rPr>
          <w:rFonts w:ascii="David" w:hAnsi="David" w:cs="David" w:hint="cs"/>
          <w:sz w:val="24"/>
          <w:szCs w:val="24"/>
          <w:rtl/>
        </w:rPr>
        <w:t>)</w:t>
      </w:r>
      <w:proofErr w:type="gramEnd"/>
      <w:r w:rsidR="00A84C7C" w:rsidRPr="00CA64CE">
        <w:rPr>
          <w:rFonts w:ascii="David" w:hAnsi="David" w:cs="David" w:hint="cs"/>
          <w:sz w:val="24"/>
          <w:szCs w:val="24"/>
          <w:rtl/>
        </w:rPr>
        <w:t xml:space="preserve">. </w:t>
      </w:r>
      <w:r w:rsidRPr="00CA64CE">
        <w:rPr>
          <w:rFonts w:ascii="David" w:hAnsi="David" w:cs="David"/>
          <w:sz w:val="24"/>
          <w:szCs w:val="24"/>
          <w:rtl/>
        </w:rPr>
        <w:t>תחת תנאים אלה, מוסדות חינוך פועלים במתח שבין לוגיקת שוק ניהולית לבין רגולציה והערכה חיצונית, אשר משנה את יחסי הכוח בין המדינה, בתי הספר, ההורים והתלמידים</w:t>
      </w:r>
      <w:r w:rsidR="00A84C7C" w:rsidRPr="00CA64CE">
        <w:rPr>
          <w:rFonts w:ascii="David" w:hAnsi="David" w:cs="David" w:hint="cs"/>
          <w:sz w:val="24"/>
          <w:szCs w:val="24"/>
          <w:rtl/>
        </w:rPr>
        <w:t xml:space="preserve"> </w:t>
      </w:r>
      <w:r w:rsidR="00A84C7C" w:rsidRPr="00CA64CE">
        <w:rPr>
          <w:rFonts w:ascii="David" w:hAnsi="David" w:cs="David"/>
          <w:sz w:val="24"/>
          <w:szCs w:val="24"/>
        </w:rPr>
        <w:t>(</w:t>
      </w:r>
      <w:r w:rsidRPr="00CA64CE">
        <w:rPr>
          <w:rFonts w:ascii="David" w:hAnsi="David" w:cs="David"/>
          <w:sz w:val="24"/>
          <w:szCs w:val="24"/>
        </w:rPr>
        <w:t>Brown</w:t>
      </w:r>
      <w:r w:rsidR="00A84C7C" w:rsidRPr="00CA64CE">
        <w:rPr>
          <w:rFonts w:ascii="David" w:hAnsi="David" w:cs="David"/>
          <w:i/>
          <w:iCs/>
          <w:sz w:val="24"/>
          <w:szCs w:val="24"/>
        </w:rPr>
        <w:t xml:space="preserve">, </w:t>
      </w:r>
      <w:r w:rsidRPr="00CA64CE">
        <w:rPr>
          <w:rFonts w:ascii="David" w:hAnsi="David" w:cs="David"/>
          <w:i/>
          <w:iCs/>
          <w:sz w:val="24"/>
          <w:szCs w:val="24"/>
        </w:rPr>
        <w:t>et.al.</w:t>
      </w:r>
      <w:r w:rsidRPr="00CA64CE">
        <w:rPr>
          <w:rFonts w:ascii="David" w:hAnsi="David" w:cs="David"/>
          <w:sz w:val="24"/>
          <w:szCs w:val="24"/>
        </w:rPr>
        <w:t>, 2020)</w:t>
      </w:r>
      <w:r w:rsidR="00A84C7C" w:rsidRPr="00CA64CE">
        <w:rPr>
          <w:rFonts w:ascii="David" w:hAnsi="David" w:cs="David" w:hint="cs"/>
          <w:sz w:val="24"/>
          <w:szCs w:val="24"/>
          <w:rtl/>
        </w:rPr>
        <w:t>.</w:t>
      </w:r>
      <w:r w:rsidRPr="00CA64CE">
        <w:rPr>
          <w:rFonts w:ascii="David" w:hAnsi="David" w:cs="David" w:hint="cs"/>
          <w:sz w:val="24"/>
          <w:szCs w:val="24"/>
          <w:rtl/>
        </w:rPr>
        <w:t xml:space="preserve"> </w:t>
      </w:r>
      <w:r w:rsidRPr="00CA64CE">
        <w:rPr>
          <w:rFonts w:ascii="David" w:hAnsi="David" w:cs="David"/>
          <w:sz w:val="24"/>
          <w:szCs w:val="24"/>
          <w:rtl/>
        </w:rPr>
        <w:t>בתוך כך, עולה מעורבות גוברת של הורים, הנתפסים כשותפים למדיניות חינוכית ולא רק כצרכני שירות</w:t>
      </w:r>
      <w:r>
        <w:rPr>
          <w:rFonts w:ascii="David" w:hAnsi="David" w:cs="David" w:hint="cs"/>
          <w:sz w:val="24"/>
          <w:szCs w:val="24"/>
          <w:rtl/>
        </w:rPr>
        <w:t xml:space="preserve"> </w:t>
      </w:r>
      <w:r w:rsidRPr="008939D9">
        <w:rPr>
          <w:rFonts w:ascii="David" w:hAnsi="David" w:cs="David"/>
          <w:sz w:val="24"/>
          <w:szCs w:val="24"/>
        </w:rPr>
        <w:t xml:space="preserve"> </w:t>
      </w:r>
      <w:r>
        <w:rPr>
          <w:rFonts w:ascii="David" w:hAnsi="David" w:cs="David"/>
          <w:sz w:val="24"/>
          <w:szCs w:val="24"/>
        </w:rPr>
        <w:t>.</w:t>
      </w:r>
      <w:r w:rsidRPr="008939D9">
        <w:rPr>
          <w:rFonts w:ascii="David" w:hAnsi="David" w:cs="David"/>
          <w:sz w:val="24"/>
          <w:szCs w:val="24"/>
        </w:rPr>
        <w:t>(Addi-Raccah, 2020)</w:t>
      </w:r>
      <w:r>
        <w:rPr>
          <w:rFonts w:ascii="David" w:hAnsi="David" w:cs="David" w:hint="cs"/>
          <w:sz w:val="24"/>
          <w:szCs w:val="24"/>
          <w:rtl/>
        </w:rPr>
        <w:t xml:space="preserve"> במקביל, תהליכים אלו מגובים במחקרים רבים אשר מאשררים את התרומה של מעורבות ההורים </w:t>
      </w:r>
      <w:r w:rsidR="00CC1BEB">
        <w:rPr>
          <w:rFonts w:ascii="David" w:hAnsi="David" w:cs="David" w:hint="cs"/>
          <w:sz w:val="24"/>
          <w:szCs w:val="24"/>
          <w:rtl/>
        </w:rPr>
        <w:t xml:space="preserve">בעבור מגוון רחב של היבטים, וביניהם- שיפור </w:t>
      </w:r>
      <w:r w:rsidR="00A84C7C">
        <w:rPr>
          <w:rFonts w:ascii="David" w:hAnsi="David" w:cs="David" w:hint="cs"/>
          <w:sz w:val="24"/>
          <w:szCs w:val="24"/>
          <w:rtl/>
        </w:rPr>
        <w:t>ב</w:t>
      </w:r>
      <w:r w:rsidR="00CC1BEB">
        <w:rPr>
          <w:rFonts w:ascii="David" w:hAnsi="David" w:cs="David" w:hint="cs"/>
          <w:sz w:val="24"/>
          <w:szCs w:val="24"/>
          <w:rtl/>
        </w:rPr>
        <w:t>תוצאות אקדמיות, התפתחות רגשית-חברתית</w:t>
      </w:r>
      <w:r w:rsidR="00A84C7C">
        <w:rPr>
          <w:rFonts w:ascii="David" w:hAnsi="David" w:cs="David" w:hint="cs"/>
          <w:sz w:val="24"/>
          <w:szCs w:val="24"/>
          <w:rtl/>
        </w:rPr>
        <w:t xml:space="preserve"> </w:t>
      </w:r>
      <w:r w:rsidR="00CC1BEB">
        <w:rPr>
          <w:rFonts w:ascii="David" w:hAnsi="David" w:cs="David" w:hint="cs"/>
          <w:sz w:val="24"/>
          <w:szCs w:val="24"/>
          <w:rtl/>
        </w:rPr>
        <w:t>ו</w:t>
      </w:r>
      <w:r w:rsidR="00A84C7C">
        <w:rPr>
          <w:rFonts w:ascii="David" w:hAnsi="David" w:cs="David" w:hint="cs"/>
          <w:sz w:val="24"/>
          <w:szCs w:val="24"/>
          <w:rtl/>
        </w:rPr>
        <w:t xml:space="preserve">כן, </w:t>
      </w:r>
      <w:r w:rsidR="00CC1BEB">
        <w:rPr>
          <w:rFonts w:ascii="David" w:hAnsi="David" w:cs="David" w:hint="cs"/>
          <w:sz w:val="24"/>
          <w:szCs w:val="24"/>
          <w:rtl/>
        </w:rPr>
        <w:t>תהליכי צמיחה חברתית-</w:t>
      </w:r>
      <w:proofErr w:type="gramStart"/>
      <w:r w:rsidR="00CC1BEB">
        <w:rPr>
          <w:rFonts w:ascii="David" w:hAnsi="David" w:cs="David" w:hint="cs"/>
          <w:sz w:val="24"/>
          <w:szCs w:val="24"/>
          <w:rtl/>
        </w:rPr>
        <w:t>קהילתית</w:t>
      </w:r>
      <w:r w:rsidR="00A84C7C">
        <w:rPr>
          <w:rFonts w:ascii="David" w:hAnsi="David" w:cs="David" w:hint="cs"/>
          <w:sz w:val="24"/>
          <w:szCs w:val="24"/>
          <w:rtl/>
        </w:rPr>
        <w:t xml:space="preserve"> </w:t>
      </w:r>
      <w:r w:rsidR="00CC1BEB" w:rsidRPr="006356D2">
        <w:rPr>
          <w:rFonts w:ascii="David" w:hAnsi="David" w:cs="David"/>
          <w:sz w:val="24"/>
          <w:szCs w:val="24"/>
        </w:rPr>
        <w:t xml:space="preserve"> </w:t>
      </w:r>
      <w:proofErr w:type="spellStart"/>
      <w:r w:rsidR="00CC1BEB">
        <w:rPr>
          <w:rFonts w:ascii="David" w:hAnsi="David" w:cs="David"/>
          <w:sz w:val="24"/>
          <w:szCs w:val="24"/>
        </w:rPr>
        <w:t>Jeynes</w:t>
      </w:r>
      <w:proofErr w:type="spellEnd"/>
      <w:proofErr w:type="gramEnd"/>
      <w:r w:rsidR="00CC1BEB">
        <w:rPr>
          <w:rFonts w:ascii="David" w:hAnsi="David" w:cs="David"/>
          <w:sz w:val="24"/>
          <w:szCs w:val="24"/>
        </w:rPr>
        <w:t>, 2018</w:t>
      </w:r>
      <w:r w:rsidR="00A84C7C">
        <w:rPr>
          <w:rFonts w:ascii="David" w:hAnsi="David" w:cs="David"/>
          <w:sz w:val="24"/>
          <w:szCs w:val="24"/>
        </w:rPr>
        <w:t>)</w:t>
      </w:r>
      <w:r w:rsidR="00CC1BEB">
        <w:rPr>
          <w:rFonts w:ascii="David" w:hAnsi="David" w:cs="David" w:hint="cs"/>
          <w:sz w:val="24"/>
          <w:szCs w:val="24"/>
          <w:rtl/>
        </w:rPr>
        <w:t>;</w:t>
      </w:r>
      <w:r w:rsidR="00CC1BEB" w:rsidRPr="006356D2">
        <w:rPr>
          <w:rFonts w:ascii="David" w:hAnsi="David" w:cs="David"/>
          <w:sz w:val="24"/>
          <w:szCs w:val="24"/>
        </w:rPr>
        <w:t xml:space="preserve"> </w:t>
      </w:r>
      <w:r w:rsidR="00CC1BEB">
        <w:rPr>
          <w:rFonts w:ascii="David" w:hAnsi="David" w:cs="David"/>
          <w:sz w:val="24"/>
          <w:szCs w:val="24"/>
        </w:rPr>
        <w:t xml:space="preserve">Hornby &amp; Lafaele, 2023 </w:t>
      </w:r>
      <w:r w:rsidR="00CC1BEB">
        <w:rPr>
          <w:rFonts w:ascii="David" w:hAnsi="David" w:cs="David" w:hint="cs"/>
          <w:sz w:val="24"/>
          <w:szCs w:val="24"/>
          <w:rtl/>
        </w:rPr>
        <w:t>;</w:t>
      </w:r>
      <w:r w:rsidR="00CC1BEB">
        <w:rPr>
          <w:rFonts w:ascii="David" w:hAnsi="David" w:cs="David"/>
          <w:sz w:val="24"/>
          <w:szCs w:val="24"/>
        </w:rPr>
        <w:t>(</w:t>
      </w:r>
      <w:proofErr w:type="gramStart"/>
      <w:r w:rsidR="00CC1BEB">
        <w:rPr>
          <w:rFonts w:ascii="David" w:hAnsi="David" w:cs="David"/>
          <w:sz w:val="24"/>
          <w:szCs w:val="24"/>
        </w:rPr>
        <w:t xml:space="preserve">Eden </w:t>
      </w:r>
      <w:r w:rsidR="00CC1BEB" w:rsidRPr="000344C3">
        <w:rPr>
          <w:rFonts w:ascii="David" w:hAnsi="David" w:cs="David"/>
          <w:sz w:val="24"/>
          <w:szCs w:val="24"/>
        </w:rPr>
        <w:t>,</w:t>
      </w:r>
      <w:proofErr w:type="gramEnd"/>
      <w:r w:rsidR="00CC1BEB" w:rsidRPr="000344C3">
        <w:rPr>
          <w:rFonts w:ascii="David" w:hAnsi="David" w:cs="David"/>
          <w:sz w:val="24"/>
          <w:szCs w:val="24"/>
        </w:rPr>
        <w:t xml:space="preserve"> Chisom</w:t>
      </w:r>
      <w:r w:rsidR="00CC1BEB">
        <w:rPr>
          <w:rFonts w:ascii="David" w:hAnsi="David" w:cs="David"/>
          <w:sz w:val="24"/>
          <w:szCs w:val="24"/>
        </w:rPr>
        <w:t xml:space="preserve"> </w:t>
      </w:r>
      <w:r w:rsidR="00CC1BEB" w:rsidRPr="000344C3">
        <w:rPr>
          <w:rFonts w:ascii="David" w:hAnsi="David" w:cs="David"/>
          <w:sz w:val="24"/>
          <w:szCs w:val="24"/>
        </w:rPr>
        <w:t>&amp; Adeniyi</w:t>
      </w:r>
      <w:r w:rsidR="00CC1BEB">
        <w:rPr>
          <w:rFonts w:ascii="David" w:hAnsi="David" w:cs="David"/>
          <w:sz w:val="24"/>
          <w:szCs w:val="24"/>
        </w:rPr>
        <w:t xml:space="preserve"> </w:t>
      </w:r>
      <w:r w:rsidR="00CC1BEB" w:rsidRPr="000344C3">
        <w:rPr>
          <w:rFonts w:ascii="David" w:hAnsi="David" w:cs="David"/>
          <w:sz w:val="24"/>
          <w:szCs w:val="24"/>
        </w:rPr>
        <w:t>2024</w:t>
      </w:r>
      <w:r w:rsidR="00CC1BEB">
        <w:rPr>
          <w:rFonts w:ascii="David" w:hAnsi="David" w:cs="David" w:hint="cs"/>
          <w:sz w:val="24"/>
          <w:szCs w:val="24"/>
          <w:rtl/>
        </w:rPr>
        <w:t>.</w:t>
      </w:r>
    </w:p>
    <w:p w14:paraId="10C64E2E" w14:textId="22B1E7BF" w:rsidR="008939D9" w:rsidRDefault="00CC1BEB" w:rsidP="008939D9">
      <w:pPr>
        <w:spacing w:line="360" w:lineRule="auto"/>
        <w:jc w:val="both"/>
        <w:rPr>
          <w:rFonts w:ascii="David" w:hAnsi="David" w:cs="David"/>
          <w:sz w:val="24"/>
          <w:szCs w:val="24"/>
          <w:rtl/>
        </w:rPr>
      </w:pPr>
      <w:r>
        <w:rPr>
          <w:rFonts w:ascii="David" w:hAnsi="David" w:cs="David" w:hint="cs"/>
          <w:sz w:val="24"/>
          <w:szCs w:val="24"/>
          <w:rtl/>
        </w:rPr>
        <w:t xml:space="preserve">ככלל, </w:t>
      </w:r>
      <w:r w:rsidRPr="00F40CB3">
        <w:rPr>
          <w:rFonts w:ascii="David" w:hAnsi="David" w:cs="David"/>
          <w:sz w:val="24"/>
          <w:szCs w:val="24"/>
          <w:rtl/>
        </w:rPr>
        <w:t xml:space="preserve">המחקר מדגיש את התפקיד </w:t>
      </w:r>
      <w:r>
        <w:rPr>
          <w:rFonts w:ascii="David" w:hAnsi="David" w:cs="David" w:hint="cs"/>
          <w:sz w:val="24"/>
          <w:szCs w:val="24"/>
          <w:rtl/>
        </w:rPr>
        <w:t>המכריע</w:t>
      </w:r>
      <w:r w:rsidRPr="00F40CB3">
        <w:rPr>
          <w:rFonts w:ascii="David" w:hAnsi="David" w:cs="David"/>
          <w:sz w:val="24"/>
          <w:szCs w:val="24"/>
          <w:rtl/>
        </w:rPr>
        <w:t xml:space="preserve"> של מנהלי בתי</w:t>
      </w:r>
      <w:r w:rsidRPr="00F40CB3">
        <w:rPr>
          <w:rFonts w:ascii="David" w:hAnsi="David" w:cs="David" w:hint="cs"/>
          <w:sz w:val="24"/>
          <w:szCs w:val="24"/>
          <w:rtl/>
        </w:rPr>
        <w:t xml:space="preserve"> </w:t>
      </w:r>
      <w:r w:rsidRPr="00F40CB3">
        <w:rPr>
          <w:rFonts w:ascii="David" w:hAnsi="David" w:cs="David"/>
          <w:sz w:val="24"/>
          <w:szCs w:val="24"/>
          <w:rtl/>
        </w:rPr>
        <w:t>ספר בביסוס של מעורבות הורי</w:t>
      </w:r>
      <w:r w:rsidRPr="00F40CB3">
        <w:rPr>
          <w:rFonts w:ascii="David" w:hAnsi="David" w:cs="David" w:hint="cs"/>
          <w:sz w:val="24"/>
          <w:szCs w:val="24"/>
          <w:rtl/>
        </w:rPr>
        <w:t>ם</w:t>
      </w:r>
      <w:r>
        <w:rPr>
          <w:rFonts w:ascii="David" w:hAnsi="David" w:cs="David" w:hint="cs"/>
          <w:sz w:val="24"/>
          <w:szCs w:val="24"/>
          <w:rtl/>
        </w:rPr>
        <w:t>,</w:t>
      </w:r>
      <w:r w:rsidRPr="0095439E">
        <w:rPr>
          <w:rFonts w:ascii="David" w:hAnsi="David" w:cs="David" w:hint="cs"/>
          <w:sz w:val="24"/>
          <w:szCs w:val="24"/>
          <w:rtl/>
        </w:rPr>
        <w:t xml:space="preserve"> </w:t>
      </w:r>
      <w:r>
        <w:rPr>
          <w:rFonts w:ascii="David" w:hAnsi="David" w:cs="David" w:hint="cs"/>
          <w:sz w:val="24"/>
          <w:szCs w:val="24"/>
          <w:rtl/>
        </w:rPr>
        <w:t xml:space="preserve">שנבנית על ידי </w:t>
      </w:r>
      <w:r w:rsidRPr="00CA64CE">
        <w:rPr>
          <w:rFonts w:ascii="David" w:hAnsi="David" w:cs="David" w:hint="cs"/>
          <w:sz w:val="24"/>
          <w:szCs w:val="24"/>
          <w:rtl/>
        </w:rPr>
        <w:t xml:space="preserve">עמדות, סוגי התקשורת וסגנונות מנהיגות של המנהלים </w:t>
      </w:r>
      <w:r w:rsidRPr="00CA64CE">
        <w:rPr>
          <w:rFonts w:ascii="David" w:hAnsi="David" w:cs="David"/>
          <w:sz w:val="24"/>
          <w:szCs w:val="24"/>
        </w:rPr>
        <w:t xml:space="preserve">Lazaridou &amp; </w:t>
      </w:r>
      <w:proofErr w:type="spellStart"/>
      <w:r w:rsidRPr="00CA64CE">
        <w:rPr>
          <w:rFonts w:ascii="David" w:hAnsi="David" w:cs="David"/>
          <w:sz w:val="24"/>
          <w:szCs w:val="24"/>
        </w:rPr>
        <w:t>Gravani</w:t>
      </w:r>
      <w:proofErr w:type="spellEnd"/>
      <w:r w:rsidRPr="00CA64CE">
        <w:rPr>
          <w:rFonts w:ascii="David" w:hAnsi="David" w:cs="David"/>
          <w:sz w:val="24"/>
          <w:szCs w:val="24"/>
        </w:rPr>
        <w:t>, 2015)</w:t>
      </w:r>
      <w:r w:rsidRPr="00CA64CE">
        <w:rPr>
          <w:rFonts w:ascii="David" w:hAnsi="David" w:cs="David" w:hint="cs"/>
          <w:sz w:val="24"/>
          <w:szCs w:val="24"/>
          <w:rtl/>
        </w:rPr>
        <w:t>;</w:t>
      </w:r>
      <w:r w:rsidRPr="00CA64CE">
        <w:rPr>
          <w:rFonts w:ascii="David" w:hAnsi="David" w:cs="David"/>
          <w:sz w:val="24"/>
          <w:szCs w:val="24"/>
        </w:rPr>
        <w:t xml:space="preserve"> .(Yulianti, </w:t>
      </w:r>
      <w:proofErr w:type="gramStart"/>
      <w:r w:rsidRPr="00CA64CE">
        <w:rPr>
          <w:rFonts w:ascii="David" w:hAnsi="David" w:cs="David"/>
          <w:i/>
          <w:iCs/>
          <w:sz w:val="24"/>
          <w:szCs w:val="24"/>
        </w:rPr>
        <w:t xml:space="preserve">et.al </w:t>
      </w:r>
      <w:r w:rsidRPr="00CA64CE">
        <w:rPr>
          <w:rFonts w:ascii="David" w:hAnsi="David" w:cs="David"/>
          <w:sz w:val="24"/>
          <w:szCs w:val="24"/>
        </w:rPr>
        <w:t xml:space="preserve"> 2022</w:t>
      </w:r>
      <w:proofErr w:type="gramEnd"/>
      <w:r w:rsidR="008939D9">
        <w:rPr>
          <w:rFonts w:ascii="David" w:hAnsi="David" w:cs="David" w:hint="cs"/>
          <w:sz w:val="24"/>
          <w:szCs w:val="24"/>
          <w:rtl/>
        </w:rPr>
        <w:t xml:space="preserve"> </w:t>
      </w:r>
      <w:r>
        <w:rPr>
          <w:rFonts w:ascii="David" w:hAnsi="David" w:cs="David" w:hint="cs"/>
          <w:sz w:val="24"/>
          <w:szCs w:val="24"/>
          <w:rtl/>
        </w:rPr>
        <w:t>כך, גם בזירה הישראלית המנהלים נחשבים לאחראים המרכזיים על הקשר עם קהילת בית הספר.</w:t>
      </w:r>
      <w:r>
        <w:rPr>
          <w:rStyle w:val="af0"/>
          <w:rFonts w:ascii="David" w:hAnsi="David" w:cs="David"/>
          <w:sz w:val="24"/>
          <w:szCs w:val="24"/>
          <w:rtl/>
        </w:rPr>
        <w:footnoteReference w:id="1"/>
      </w:r>
      <w:r w:rsidR="008939D9">
        <w:rPr>
          <w:rFonts w:ascii="David" w:hAnsi="David" w:cs="David" w:hint="cs"/>
          <w:sz w:val="24"/>
          <w:szCs w:val="24"/>
          <w:rtl/>
        </w:rPr>
        <w:t xml:space="preserve"> </w:t>
      </w:r>
    </w:p>
    <w:p w14:paraId="748A938F" w14:textId="4C20FB7A" w:rsidR="00A84C7C" w:rsidRDefault="008939D9" w:rsidP="00A84C7C">
      <w:pPr>
        <w:spacing w:line="360" w:lineRule="auto"/>
        <w:jc w:val="both"/>
        <w:rPr>
          <w:rFonts w:ascii="David" w:hAnsi="David" w:cs="David"/>
          <w:sz w:val="24"/>
          <w:szCs w:val="24"/>
          <w:rtl/>
        </w:rPr>
      </w:pPr>
      <w:r>
        <w:rPr>
          <w:rFonts w:ascii="David" w:hAnsi="David" w:cs="David" w:hint="cs"/>
          <w:sz w:val="24"/>
          <w:szCs w:val="24"/>
          <w:rtl/>
        </w:rPr>
        <w:t xml:space="preserve">טבעה של מערכת היחסים בין מנהלים לבין ההורים </w:t>
      </w:r>
      <w:r w:rsidR="00F34674">
        <w:rPr>
          <w:rFonts w:ascii="David" w:hAnsi="David" w:cs="David" w:hint="cs"/>
          <w:sz w:val="24"/>
          <w:szCs w:val="24"/>
          <w:rtl/>
        </w:rPr>
        <w:t xml:space="preserve">וועדי ההורים </w:t>
      </w:r>
      <w:r>
        <w:rPr>
          <w:rFonts w:ascii="David" w:hAnsi="David" w:cs="David" w:hint="cs"/>
          <w:sz w:val="24"/>
          <w:szCs w:val="24"/>
          <w:rtl/>
        </w:rPr>
        <w:t>טומנת בחובה</w:t>
      </w:r>
      <w:r w:rsidRPr="00F40CB3">
        <w:rPr>
          <w:rFonts w:ascii="David" w:hAnsi="David" w:cs="David"/>
          <w:sz w:val="24"/>
          <w:szCs w:val="24"/>
          <w:rtl/>
        </w:rPr>
        <w:t xml:space="preserve"> מתחים ואתגרים</w:t>
      </w:r>
      <w:r w:rsidRPr="00F40CB3">
        <w:rPr>
          <w:rFonts w:ascii="David" w:hAnsi="David" w:cs="David" w:hint="cs"/>
          <w:sz w:val="24"/>
          <w:szCs w:val="24"/>
          <w:rtl/>
        </w:rPr>
        <w:t>,</w:t>
      </w:r>
      <w:r w:rsidRPr="00F40CB3">
        <w:rPr>
          <w:rFonts w:ascii="David" w:hAnsi="David" w:cs="David"/>
          <w:sz w:val="24"/>
          <w:szCs w:val="24"/>
          <w:rtl/>
        </w:rPr>
        <w:t xml:space="preserve"> </w:t>
      </w:r>
      <w:r>
        <w:rPr>
          <w:rFonts w:ascii="David" w:hAnsi="David" w:cs="David" w:hint="cs"/>
          <w:sz w:val="24"/>
          <w:szCs w:val="24"/>
          <w:rtl/>
        </w:rPr>
        <w:t>אשר</w:t>
      </w:r>
      <w:r w:rsidRPr="00F40CB3">
        <w:rPr>
          <w:rFonts w:ascii="David" w:hAnsi="David" w:cs="David"/>
          <w:sz w:val="24"/>
          <w:szCs w:val="24"/>
          <w:rtl/>
        </w:rPr>
        <w:t xml:space="preserve"> קשורים במשא ומתן תמידי לגבי שליטה וכוח</w:t>
      </w:r>
      <w:r>
        <w:rPr>
          <w:rFonts w:ascii="David" w:hAnsi="David" w:cs="David" w:hint="cs"/>
          <w:sz w:val="24"/>
          <w:szCs w:val="24"/>
          <w:rtl/>
        </w:rPr>
        <w:t xml:space="preserve"> (</w:t>
      </w:r>
      <w:r>
        <w:rPr>
          <w:rFonts w:ascii="David" w:hAnsi="David" w:cs="David"/>
          <w:sz w:val="24"/>
          <w:szCs w:val="24"/>
        </w:rPr>
        <w:t>H</w:t>
      </w:r>
      <w:r w:rsidRPr="00F40CB3">
        <w:rPr>
          <w:rFonts w:ascii="David" w:hAnsi="David" w:cs="David"/>
          <w:sz w:val="24"/>
          <w:szCs w:val="24"/>
        </w:rPr>
        <w:t>orvat</w:t>
      </w:r>
      <w:r>
        <w:rPr>
          <w:rFonts w:ascii="David" w:hAnsi="David" w:cs="David"/>
          <w:sz w:val="24"/>
          <w:szCs w:val="24"/>
        </w:rPr>
        <w:t xml:space="preserve">, </w:t>
      </w:r>
      <w:r>
        <w:rPr>
          <w:rFonts w:ascii="David" w:hAnsi="David" w:cs="David"/>
          <w:i/>
          <w:iCs/>
          <w:sz w:val="24"/>
          <w:szCs w:val="24"/>
        </w:rPr>
        <w:t>et.al</w:t>
      </w:r>
      <w:r>
        <w:rPr>
          <w:rFonts w:ascii="David" w:hAnsi="David" w:cs="David"/>
          <w:sz w:val="24"/>
          <w:szCs w:val="24"/>
        </w:rPr>
        <w:t>, 2010</w:t>
      </w:r>
      <w:r>
        <w:rPr>
          <w:rFonts w:ascii="David" w:hAnsi="David" w:cs="David" w:hint="cs"/>
          <w:sz w:val="24"/>
          <w:szCs w:val="24"/>
          <w:rtl/>
        </w:rPr>
        <w:t>). בעוד שאי ודאות וסיכון הפכו אתגרים מרכזיים בעבור מנהלי בתי ספר, אלו</w:t>
      </w:r>
      <w:r w:rsidRPr="00D948E1">
        <w:rPr>
          <w:rFonts w:ascii="David" w:hAnsi="David" w:cs="David"/>
          <w:sz w:val="24"/>
          <w:szCs w:val="24"/>
          <w:rtl/>
        </w:rPr>
        <w:t xml:space="preserve"> מגדירים את תפקידם </w:t>
      </w:r>
      <w:r>
        <w:rPr>
          <w:rFonts w:ascii="David" w:hAnsi="David" w:cs="David" w:hint="cs"/>
          <w:sz w:val="24"/>
          <w:szCs w:val="24"/>
          <w:rtl/>
        </w:rPr>
        <w:t xml:space="preserve">כיום </w:t>
      </w:r>
      <w:r w:rsidRPr="00D948E1">
        <w:rPr>
          <w:rFonts w:ascii="David" w:hAnsi="David" w:cs="David"/>
          <w:sz w:val="24"/>
          <w:szCs w:val="24"/>
          <w:rtl/>
        </w:rPr>
        <w:t>כפוליטי ומעריכים ללא הרף איזונים ובלמים</w:t>
      </w:r>
      <w:r>
        <w:rPr>
          <w:rFonts w:ascii="David" w:hAnsi="David" w:cs="David" w:hint="cs"/>
          <w:sz w:val="24"/>
          <w:szCs w:val="24"/>
          <w:rtl/>
        </w:rPr>
        <w:t xml:space="preserve"> (</w:t>
      </w:r>
      <w:r w:rsidRPr="00D948E1">
        <w:rPr>
          <w:rFonts w:ascii="David" w:hAnsi="David" w:cs="David"/>
          <w:sz w:val="24"/>
          <w:szCs w:val="24"/>
        </w:rPr>
        <w:t>Hameiri, Nir &amp;Inbar</w:t>
      </w:r>
      <w:r>
        <w:rPr>
          <w:rFonts w:ascii="David" w:hAnsi="David" w:cs="David"/>
          <w:sz w:val="24"/>
          <w:szCs w:val="24"/>
        </w:rPr>
        <w:t xml:space="preserve"> </w:t>
      </w:r>
      <w:r w:rsidRPr="00D948E1">
        <w:rPr>
          <w:rFonts w:ascii="David" w:hAnsi="David" w:cs="David"/>
          <w:sz w:val="24"/>
          <w:szCs w:val="24"/>
        </w:rPr>
        <w:t>,</w:t>
      </w:r>
      <w:r>
        <w:rPr>
          <w:rFonts w:ascii="David" w:hAnsi="David" w:cs="David"/>
          <w:sz w:val="24"/>
          <w:szCs w:val="24"/>
        </w:rPr>
        <w:t>2014</w:t>
      </w:r>
      <w:r>
        <w:rPr>
          <w:rFonts w:ascii="David" w:hAnsi="David" w:cs="David" w:hint="cs"/>
          <w:sz w:val="24"/>
          <w:szCs w:val="24"/>
          <w:rtl/>
        </w:rPr>
        <w:t xml:space="preserve">; </w:t>
      </w:r>
      <w:r w:rsidRPr="00D948E1">
        <w:rPr>
          <w:rFonts w:ascii="David" w:hAnsi="David" w:cs="David"/>
          <w:sz w:val="24"/>
          <w:szCs w:val="24"/>
        </w:rPr>
        <w:t>Hayes &amp; Derrington, 2023</w:t>
      </w:r>
      <w:r>
        <w:rPr>
          <w:rFonts w:ascii="David" w:hAnsi="David" w:cs="David" w:hint="cs"/>
          <w:sz w:val="24"/>
          <w:szCs w:val="24"/>
          <w:rtl/>
        </w:rPr>
        <w:t>).</w:t>
      </w:r>
      <w:r>
        <w:rPr>
          <w:rFonts w:ascii="David" w:hAnsi="David" w:cs="David" w:hint="cs"/>
          <w:sz w:val="24"/>
          <w:szCs w:val="24"/>
          <w:rtl/>
        </w:rPr>
        <w:t xml:space="preserve"> </w:t>
      </w:r>
      <w:r>
        <w:rPr>
          <w:rFonts w:ascii="David" w:hAnsi="David" w:cs="David" w:hint="cs"/>
          <w:sz w:val="24"/>
          <w:szCs w:val="24"/>
          <w:rtl/>
        </w:rPr>
        <w:t xml:space="preserve">כפי שכותב </w:t>
      </w:r>
      <w:r>
        <w:rPr>
          <w:rFonts w:ascii="David" w:hAnsi="David" w:cs="David"/>
          <w:sz w:val="24"/>
          <w:szCs w:val="24"/>
        </w:rPr>
        <w:t xml:space="preserve">MacDonald </w:t>
      </w:r>
      <w:r>
        <w:rPr>
          <w:rFonts w:ascii="David" w:hAnsi="David" w:cs="David" w:hint="cs"/>
          <w:sz w:val="24"/>
          <w:szCs w:val="24"/>
          <w:rtl/>
        </w:rPr>
        <w:t xml:space="preserve"> (2014), כלי החשיבה</w:t>
      </w:r>
      <w:r w:rsidRPr="00D948E1">
        <w:rPr>
          <w:rFonts w:ascii="David" w:hAnsi="David" w:cs="David"/>
          <w:sz w:val="24"/>
          <w:szCs w:val="24"/>
          <w:rtl/>
        </w:rPr>
        <w:t xml:space="preserve"> של </w:t>
      </w:r>
      <w:proofErr w:type="spellStart"/>
      <w:r w:rsidRPr="00D948E1">
        <w:rPr>
          <w:rFonts w:ascii="David" w:hAnsi="David" w:cs="David"/>
          <w:sz w:val="24"/>
          <w:szCs w:val="24"/>
          <w:rtl/>
        </w:rPr>
        <w:t>בורדייה</w:t>
      </w:r>
      <w:proofErr w:type="spellEnd"/>
      <w:r>
        <w:rPr>
          <w:rFonts w:ascii="David" w:hAnsi="David" w:cs="David" w:hint="cs"/>
          <w:sz w:val="24"/>
          <w:szCs w:val="24"/>
          <w:rtl/>
        </w:rPr>
        <w:t>,</w:t>
      </w:r>
      <w:r w:rsidRPr="00D948E1">
        <w:rPr>
          <w:rFonts w:ascii="David" w:hAnsi="David" w:cs="David"/>
          <w:sz w:val="24"/>
          <w:szCs w:val="24"/>
          <w:rtl/>
        </w:rPr>
        <w:t xml:space="preserve"> </w:t>
      </w:r>
      <w:r>
        <w:rPr>
          <w:rFonts w:ascii="David" w:hAnsi="David" w:cs="David" w:hint="cs"/>
          <w:sz w:val="24"/>
          <w:szCs w:val="24"/>
          <w:rtl/>
        </w:rPr>
        <w:t xml:space="preserve">בהגדרתו את המושגים </w:t>
      </w:r>
      <w:r w:rsidRPr="00D948E1">
        <w:rPr>
          <w:rFonts w:ascii="David" w:hAnsi="David" w:cs="David" w:hint="cs"/>
          <w:sz w:val="24"/>
          <w:szCs w:val="24"/>
          <w:rtl/>
        </w:rPr>
        <w:t>'</w:t>
      </w:r>
      <w:r w:rsidRPr="00D948E1">
        <w:rPr>
          <w:rFonts w:ascii="David" w:hAnsi="David" w:cs="David"/>
          <w:sz w:val="24"/>
          <w:szCs w:val="24"/>
          <w:rtl/>
        </w:rPr>
        <w:t>שדה</w:t>
      </w:r>
      <w:r w:rsidRPr="00D948E1">
        <w:rPr>
          <w:rFonts w:ascii="David" w:hAnsi="David" w:cs="David" w:hint="cs"/>
          <w:sz w:val="24"/>
          <w:szCs w:val="24"/>
          <w:rtl/>
        </w:rPr>
        <w:t>'</w:t>
      </w:r>
      <w:r w:rsidRPr="00D948E1">
        <w:rPr>
          <w:rFonts w:ascii="David" w:hAnsi="David" w:cs="David"/>
          <w:sz w:val="24"/>
          <w:szCs w:val="24"/>
          <w:rtl/>
        </w:rPr>
        <w:t xml:space="preserve"> </w:t>
      </w:r>
      <w:r w:rsidRPr="007F07B6">
        <w:rPr>
          <w:rFonts w:ascii="David" w:hAnsi="David" w:cs="David"/>
          <w:sz w:val="24"/>
          <w:szCs w:val="24"/>
          <w:rtl/>
        </w:rPr>
        <w:t>ו</w:t>
      </w:r>
      <w:r w:rsidRPr="007F07B6">
        <w:rPr>
          <w:rFonts w:ascii="David" w:hAnsi="David" w:cs="David" w:hint="cs"/>
          <w:sz w:val="24"/>
          <w:szCs w:val="24"/>
          <w:rtl/>
        </w:rPr>
        <w:t>'</w:t>
      </w:r>
      <w:r w:rsidRPr="007F07B6">
        <w:rPr>
          <w:rFonts w:ascii="David" w:hAnsi="David" w:cs="David"/>
          <w:sz w:val="24"/>
          <w:szCs w:val="24"/>
          <w:rtl/>
        </w:rPr>
        <w:t>הון</w:t>
      </w:r>
      <w:r w:rsidRPr="007F07B6">
        <w:rPr>
          <w:rFonts w:ascii="David" w:hAnsi="David" w:cs="David" w:hint="cs"/>
          <w:sz w:val="24"/>
          <w:szCs w:val="24"/>
          <w:rtl/>
        </w:rPr>
        <w:t>'</w:t>
      </w:r>
      <w:r w:rsidR="00A84C7C" w:rsidRPr="007F07B6">
        <w:rPr>
          <w:rFonts w:ascii="David" w:hAnsi="David" w:cs="David" w:hint="cs"/>
          <w:sz w:val="24"/>
          <w:szCs w:val="24"/>
          <w:rtl/>
        </w:rPr>
        <w:t xml:space="preserve"> </w:t>
      </w:r>
      <w:r w:rsidR="00A84C7C" w:rsidRPr="007F07B6">
        <w:rPr>
          <w:rFonts w:ascii="David" w:hAnsi="David" w:cs="David" w:hint="cs"/>
          <w:sz w:val="24"/>
          <w:szCs w:val="24"/>
          <w:rtl/>
        </w:rPr>
        <w:t>(</w:t>
      </w:r>
      <w:r w:rsidR="00A84C7C" w:rsidRPr="007F07B6">
        <w:rPr>
          <w:rFonts w:ascii="David" w:hAnsi="David" w:cs="David"/>
          <w:sz w:val="24"/>
          <w:szCs w:val="24"/>
        </w:rPr>
        <w:t>Bourdieu, 2011</w:t>
      </w:r>
      <w:r w:rsidR="00A84C7C" w:rsidRPr="007F07B6">
        <w:rPr>
          <w:rFonts w:ascii="David" w:hAnsi="David" w:cs="David" w:hint="cs"/>
          <w:sz w:val="24"/>
          <w:szCs w:val="24"/>
          <w:rtl/>
        </w:rPr>
        <w:t xml:space="preserve">), </w:t>
      </w:r>
      <w:r w:rsidRPr="007F07B6">
        <w:rPr>
          <w:rFonts w:ascii="David" w:hAnsi="David" w:cs="David"/>
          <w:sz w:val="24"/>
          <w:szCs w:val="24"/>
          <w:rtl/>
        </w:rPr>
        <w:t xml:space="preserve"> </w:t>
      </w:r>
      <w:r w:rsidRPr="007F07B6">
        <w:rPr>
          <w:rFonts w:ascii="David" w:hAnsi="David" w:cs="David" w:hint="cs"/>
          <w:sz w:val="24"/>
          <w:szCs w:val="24"/>
          <w:rtl/>
        </w:rPr>
        <w:t xml:space="preserve">מאפשרים להאיר את שדה המנהיגות החינוכית </w:t>
      </w:r>
      <w:proofErr w:type="spellStart"/>
      <w:r w:rsidRPr="007F07B6">
        <w:rPr>
          <w:rFonts w:ascii="David" w:hAnsi="David" w:cs="David" w:hint="cs"/>
          <w:sz w:val="24"/>
          <w:szCs w:val="24"/>
          <w:rtl/>
        </w:rPr>
        <w:t>והפרקטיקות</w:t>
      </w:r>
      <w:proofErr w:type="spellEnd"/>
      <w:r w:rsidRPr="007F07B6">
        <w:rPr>
          <w:rFonts w:ascii="David" w:hAnsi="David" w:cs="David" w:hint="cs"/>
          <w:sz w:val="24"/>
          <w:szCs w:val="24"/>
          <w:rtl/>
        </w:rPr>
        <w:t xml:space="preserve"> שלו באמצעות חשיפת יחסי</w:t>
      </w:r>
      <w:r>
        <w:rPr>
          <w:rFonts w:ascii="David" w:hAnsi="David" w:cs="David" w:hint="cs"/>
          <w:sz w:val="24"/>
          <w:szCs w:val="24"/>
          <w:rtl/>
        </w:rPr>
        <w:t xml:space="preserve"> הכוח הפוליטיים הטבועים בעבודתם של מנהלי בתי ספר.</w:t>
      </w:r>
      <w:r>
        <w:rPr>
          <w:rFonts w:ascii="David" w:hAnsi="David" w:cs="David" w:hint="cs"/>
          <w:sz w:val="24"/>
          <w:szCs w:val="24"/>
          <w:rtl/>
        </w:rPr>
        <w:t xml:space="preserve"> </w:t>
      </w:r>
      <w:r>
        <w:rPr>
          <w:rFonts w:ascii="David" w:hAnsi="David" w:cs="David" w:hint="cs"/>
          <w:sz w:val="24"/>
          <w:szCs w:val="24"/>
          <w:rtl/>
        </w:rPr>
        <w:t>לאור תהליכי פמיניזציה של כוחות ההוראה בישראל,</w:t>
      </w:r>
      <w:r w:rsidRPr="009367A6">
        <w:rPr>
          <w:rStyle w:val="af0"/>
          <w:rFonts w:ascii="David" w:hAnsi="David" w:cs="David"/>
          <w:sz w:val="24"/>
          <w:szCs w:val="24"/>
          <w:rtl/>
        </w:rPr>
        <w:t xml:space="preserve"> </w:t>
      </w:r>
      <w:r>
        <w:rPr>
          <w:rStyle w:val="af0"/>
          <w:rFonts w:ascii="David" w:hAnsi="David" w:cs="David"/>
          <w:sz w:val="24"/>
          <w:szCs w:val="24"/>
          <w:rtl/>
        </w:rPr>
        <w:footnoteReference w:id="2"/>
      </w:r>
      <w:r>
        <w:rPr>
          <w:rFonts w:ascii="David" w:hAnsi="David" w:cs="David" w:hint="cs"/>
          <w:sz w:val="24"/>
          <w:szCs w:val="24"/>
          <w:rtl/>
        </w:rPr>
        <w:t xml:space="preserve"> ובהתאמה גם של תפקיד הניהול,</w:t>
      </w:r>
      <w:r>
        <w:rPr>
          <w:rStyle w:val="af0"/>
          <w:rFonts w:ascii="David" w:hAnsi="David" w:cs="David"/>
          <w:sz w:val="24"/>
          <w:szCs w:val="24"/>
          <w:rtl/>
        </w:rPr>
        <w:footnoteReference w:id="3"/>
      </w:r>
      <w:r>
        <w:rPr>
          <w:rFonts w:ascii="David" w:hAnsi="David" w:cs="David" w:hint="cs"/>
          <w:sz w:val="24"/>
          <w:szCs w:val="24"/>
          <w:rtl/>
        </w:rPr>
        <w:t xml:space="preserve"> ומתוקף היותו של בית הספר ארגון '</w:t>
      </w:r>
      <w:r w:rsidRPr="002026AC">
        <w:rPr>
          <w:rFonts w:ascii="David" w:hAnsi="David" w:cs="David" w:hint="cs"/>
          <w:sz w:val="24"/>
          <w:szCs w:val="24"/>
          <w:rtl/>
        </w:rPr>
        <w:t>נשי</w:t>
      </w:r>
      <w:r>
        <w:rPr>
          <w:rFonts w:ascii="David" w:hAnsi="David" w:cs="David" w:hint="cs"/>
          <w:sz w:val="24"/>
          <w:szCs w:val="24"/>
          <w:rtl/>
        </w:rPr>
        <w:t>'</w:t>
      </w:r>
      <w:r w:rsidRPr="002026AC">
        <w:rPr>
          <w:rFonts w:ascii="David" w:hAnsi="David" w:cs="David" w:hint="cs"/>
          <w:sz w:val="24"/>
          <w:szCs w:val="24"/>
          <w:rtl/>
        </w:rPr>
        <w:t xml:space="preserve"> במהותו</w:t>
      </w:r>
      <w:r>
        <w:rPr>
          <w:rFonts w:ascii="David" w:hAnsi="David" w:cs="David" w:hint="cs"/>
          <w:sz w:val="24"/>
          <w:szCs w:val="24"/>
          <w:rtl/>
        </w:rPr>
        <w:t xml:space="preserve"> </w:t>
      </w:r>
      <w:r w:rsidRPr="00623E92">
        <w:rPr>
          <w:rFonts w:ascii="David" w:hAnsi="David" w:cs="David" w:hint="cs"/>
          <w:b/>
          <w:bCs/>
          <w:sz w:val="24"/>
          <w:szCs w:val="24"/>
          <w:rtl/>
        </w:rPr>
        <w:t xml:space="preserve"> </w:t>
      </w:r>
      <w:r>
        <w:rPr>
          <w:rFonts w:ascii="David" w:hAnsi="David" w:cs="David"/>
          <w:sz w:val="24"/>
          <w:szCs w:val="24"/>
        </w:rPr>
        <w:t>(Skelton, 2023)</w:t>
      </w:r>
      <w:r>
        <w:rPr>
          <w:rFonts w:ascii="David" w:hAnsi="David" w:cs="David" w:hint="cs"/>
          <w:sz w:val="24"/>
          <w:szCs w:val="24"/>
          <w:rtl/>
        </w:rPr>
        <w:t xml:space="preserve">, </w:t>
      </w:r>
      <w:r w:rsidR="00A84C7C">
        <w:rPr>
          <w:rFonts w:ascii="David" w:hAnsi="David" w:cs="David" w:hint="cs"/>
          <w:sz w:val="24"/>
          <w:szCs w:val="24"/>
          <w:rtl/>
        </w:rPr>
        <w:t xml:space="preserve"> </w:t>
      </w:r>
      <w:r w:rsidRPr="00D948E1">
        <w:rPr>
          <w:rFonts w:ascii="David" w:hAnsi="David" w:cs="David"/>
          <w:sz w:val="24"/>
          <w:szCs w:val="24"/>
          <w:rtl/>
        </w:rPr>
        <w:t xml:space="preserve">המחקר יתמקד </w:t>
      </w:r>
      <w:r>
        <w:rPr>
          <w:rFonts w:ascii="David" w:hAnsi="David" w:cs="David" w:hint="cs"/>
          <w:sz w:val="24"/>
          <w:szCs w:val="24"/>
          <w:rtl/>
        </w:rPr>
        <w:t>במקורות</w:t>
      </w:r>
      <w:r w:rsidRPr="00D948E1">
        <w:rPr>
          <w:rFonts w:ascii="David" w:hAnsi="David" w:cs="David"/>
          <w:sz w:val="24"/>
          <w:szCs w:val="24"/>
          <w:rtl/>
        </w:rPr>
        <w:t xml:space="preserve"> הכוח המשמשים מנהלות בתי</w:t>
      </w:r>
      <w:r>
        <w:rPr>
          <w:rFonts w:ascii="David" w:hAnsi="David" w:cs="David" w:hint="cs"/>
          <w:sz w:val="24"/>
          <w:szCs w:val="24"/>
          <w:rtl/>
        </w:rPr>
        <w:t xml:space="preserve"> </w:t>
      </w:r>
      <w:r w:rsidRPr="00D948E1">
        <w:rPr>
          <w:rFonts w:ascii="David" w:hAnsi="David" w:cs="David"/>
          <w:sz w:val="24"/>
          <w:szCs w:val="24"/>
          <w:rtl/>
        </w:rPr>
        <w:t>ספר</w:t>
      </w:r>
      <w:r>
        <w:rPr>
          <w:rFonts w:ascii="David" w:hAnsi="David" w:cs="David" w:hint="cs"/>
          <w:sz w:val="24"/>
          <w:szCs w:val="24"/>
          <w:rtl/>
        </w:rPr>
        <w:t xml:space="preserve"> במסגרת בניית היחסים שלהן עם ההורים ועם ועדי ההורים,</w:t>
      </w:r>
      <w:r w:rsidRPr="00D948E1">
        <w:rPr>
          <w:rFonts w:ascii="David" w:hAnsi="David" w:cs="David"/>
          <w:sz w:val="24"/>
          <w:szCs w:val="24"/>
          <w:rtl/>
        </w:rPr>
        <w:t xml:space="preserve"> </w:t>
      </w:r>
      <w:r w:rsidRPr="00B34EC0">
        <w:rPr>
          <w:rFonts w:ascii="David" w:hAnsi="David" w:cs="David" w:hint="cs"/>
          <w:sz w:val="24"/>
          <w:szCs w:val="24"/>
          <w:rtl/>
        </w:rPr>
        <w:t>ויבחן  את</w:t>
      </w:r>
      <w:r>
        <w:rPr>
          <w:rFonts w:ascii="David" w:hAnsi="David" w:cs="David" w:hint="cs"/>
          <w:b/>
          <w:bCs/>
          <w:sz w:val="24"/>
          <w:szCs w:val="24"/>
          <w:rtl/>
        </w:rPr>
        <w:t xml:space="preserve"> </w:t>
      </w:r>
      <w:r>
        <w:rPr>
          <w:rFonts w:ascii="David" w:hAnsi="David" w:cs="David" w:hint="cs"/>
          <w:sz w:val="24"/>
          <w:szCs w:val="24"/>
          <w:rtl/>
        </w:rPr>
        <w:t xml:space="preserve">האופן שבו סוגי ה'הון' של המנהלות משפיעים על דפוסי </w:t>
      </w:r>
      <w:r w:rsidR="00A84C7C">
        <w:rPr>
          <w:rFonts w:ascii="David" w:hAnsi="David" w:cs="David" w:hint="cs"/>
          <w:sz w:val="24"/>
          <w:szCs w:val="24"/>
          <w:rtl/>
        </w:rPr>
        <w:t>יחסים אלו</w:t>
      </w:r>
      <w:r>
        <w:rPr>
          <w:rFonts w:ascii="David" w:hAnsi="David" w:cs="David" w:hint="cs"/>
          <w:sz w:val="24"/>
          <w:szCs w:val="24"/>
          <w:rtl/>
        </w:rPr>
        <w:t xml:space="preserve">. </w:t>
      </w:r>
    </w:p>
    <w:p w14:paraId="01DD6064" w14:textId="13B7281D" w:rsidR="00A84C7C" w:rsidRDefault="008939D9" w:rsidP="00A84C7C">
      <w:pPr>
        <w:spacing w:line="360" w:lineRule="auto"/>
        <w:jc w:val="both"/>
        <w:rPr>
          <w:rFonts w:ascii="David" w:hAnsi="David" w:cs="David"/>
          <w:sz w:val="24"/>
          <w:szCs w:val="24"/>
          <w:rtl/>
        </w:rPr>
      </w:pPr>
      <w:r>
        <w:rPr>
          <w:rFonts w:ascii="David" w:hAnsi="David" w:cs="David" w:hint="cs"/>
          <w:sz w:val="24"/>
          <w:szCs w:val="24"/>
          <w:rtl/>
        </w:rPr>
        <w:t xml:space="preserve">המחקר ייערך במתודה איכותנית, ואוכלוסיית המחקר תכלול מנהלות בתי ספר והורים. </w:t>
      </w:r>
    </w:p>
    <w:p w14:paraId="0FBB2C7A" w14:textId="24C77A9A" w:rsidR="00CC1BEB" w:rsidRPr="00A84C7C" w:rsidRDefault="008939D9" w:rsidP="00A84C7C">
      <w:pPr>
        <w:spacing w:line="360" w:lineRule="auto"/>
        <w:jc w:val="both"/>
        <w:rPr>
          <w:rFonts w:ascii="David" w:hAnsi="David" w:cs="David" w:hint="cs"/>
          <w:sz w:val="24"/>
          <w:szCs w:val="24"/>
          <w:rtl/>
        </w:rPr>
      </w:pPr>
      <w:r>
        <w:rPr>
          <w:rFonts w:ascii="David" w:hAnsi="David" w:cs="David" w:hint="cs"/>
          <w:sz w:val="24"/>
          <w:szCs w:val="24"/>
          <w:rtl/>
        </w:rPr>
        <w:t xml:space="preserve">זיהוי והבנת </w:t>
      </w:r>
      <w:r w:rsidRPr="00D948E1">
        <w:rPr>
          <w:rFonts w:ascii="David" w:hAnsi="David" w:cs="David"/>
          <w:sz w:val="24"/>
          <w:szCs w:val="24"/>
          <w:rtl/>
        </w:rPr>
        <w:t xml:space="preserve">הדינמיקה המגדרית </w:t>
      </w:r>
      <w:r>
        <w:rPr>
          <w:rFonts w:ascii="David" w:hAnsi="David" w:cs="David" w:hint="cs"/>
          <w:sz w:val="24"/>
          <w:szCs w:val="24"/>
          <w:rtl/>
        </w:rPr>
        <w:t>ב</w:t>
      </w:r>
      <w:r w:rsidRPr="00D948E1">
        <w:rPr>
          <w:rFonts w:ascii="David" w:hAnsi="David" w:cs="David"/>
          <w:sz w:val="24"/>
          <w:szCs w:val="24"/>
          <w:rtl/>
        </w:rPr>
        <w:t xml:space="preserve">מערכת יחסים </w:t>
      </w:r>
      <w:r w:rsidRPr="00D948E1">
        <w:rPr>
          <w:rFonts w:ascii="David" w:hAnsi="David" w:cs="David" w:hint="cs"/>
          <w:sz w:val="24"/>
          <w:szCs w:val="24"/>
          <w:rtl/>
        </w:rPr>
        <w:t>זו</w:t>
      </w:r>
      <w:r>
        <w:rPr>
          <w:rFonts w:ascii="David" w:hAnsi="David" w:cs="David" w:hint="cs"/>
          <w:sz w:val="24"/>
          <w:szCs w:val="24"/>
          <w:rtl/>
        </w:rPr>
        <w:t xml:space="preserve"> תתרום</w:t>
      </w:r>
      <w:r w:rsidRPr="00D948E1">
        <w:rPr>
          <w:rFonts w:ascii="David" w:hAnsi="David" w:cs="David"/>
          <w:sz w:val="24"/>
          <w:szCs w:val="24"/>
          <w:rtl/>
        </w:rPr>
        <w:t xml:space="preserve"> לקידום שותפויות אפקטיביות, בהתאם לצרכים הארגוניים של בת</w:t>
      </w:r>
      <w:r>
        <w:rPr>
          <w:rFonts w:ascii="David" w:hAnsi="David" w:cs="David" w:hint="cs"/>
          <w:sz w:val="24"/>
          <w:szCs w:val="24"/>
          <w:rtl/>
        </w:rPr>
        <w:t>י</w:t>
      </w:r>
      <w:r w:rsidRPr="00D948E1">
        <w:rPr>
          <w:rFonts w:ascii="David" w:hAnsi="David" w:cs="David"/>
          <w:sz w:val="24"/>
          <w:szCs w:val="24"/>
          <w:rtl/>
        </w:rPr>
        <w:t xml:space="preserve"> הספר בתקופת </w:t>
      </w:r>
      <w:r w:rsidR="00A84C7C">
        <w:rPr>
          <w:rFonts w:ascii="David" w:hAnsi="David" w:cs="David" w:hint="cs"/>
          <w:sz w:val="24"/>
          <w:szCs w:val="24"/>
          <w:rtl/>
        </w:rPr>
        <w:t>בעת משבר ואי ודאות, למען קידום שותפויות מיטיבות ואפקטיביות</w:t>
      </w:r>
      <w:r w:rsidR="00A84C7C">
        <w:rPr>
          <w:rFonts w:ascii="David" w:hAnsi="David" w:cs="David" w:hint="cs"/>
          <w:sz w:val="24"/>
          <w:szCs w:val="24"/>
          <w:rtl/>
        </w:rPr>
        <w:t xml:space="preserve">. </w:t>
      </w:r>
    </w:p>
    <w:p w14:paraId="1AA60822" w14:textId="77777777" w:rsidR="00CC1BEB" w:rsidRDefault="00CC1BEB" w:rsidP="00CC1BEB">
      <w:pPr>
        <w:spacing w:line="360" w:lineRule="auto"/>
        <w:rPr>
          <w:rFonts w:ascii="David" w:hAnsi="David" w:cs="David"/>
          <w:b/>
          <w:bCs/>
          <w:sz w:val="24"/>
          <w:szCs w:val="24"/>
          <w:rtl/>
        </w:rPr>
      </w:pPr>
      <w:r w:rsidRPr="00CB11CB">
        <w:rPr>
          <w:rFonts w:ascii="David" w:hAnsi="David" w:cs="David" w:hint="cs"/>
          <w:b/>
          <w:bCs/>
          <w:sz w:val="24"/>
          <w:szCs w:val="24"/>
          <w:rtl/>
        </w:rPr>
        <w:lastRenderedPageBreak/>
        <w:t>ביבליוגרפיה</w:t>
      </w:r>
    </w:p>
    <w:p w14:paraId="070369FB" w14:textId="0C4D97B6" w:rsidR="00CA64CE" w:rsidRDefault="00CC1BEB" w:rsidP="00CA64CE">
      <w:pPr>
        <w:bidi w:val="0"/>
        <w:spacing w:line="360" w:lineRule="auto"/>
        <w:jc w:val="both"/>
        <w:rPr>
          <w:rFonts w:ascii="David" w:hAnsi="David" w:cs="David"/>
          <w:sz w:val="24"/>
          <w:szCs w:val="24"/>
        </w:rPr>
      </w:pPr>
      <w:r w:rsidRPr="00CA64CE">
        <w:rPr>
          <w:rFonts w:ascii="David" w:hAnsi="David" w:cs="David"/>
          <w:sz w:val="24"/>
          <w:szCs w:val="24"/>
        </w:rPr>
        <w:t xml:space="preserve">Addi-Raccah, A. (2020). Resources and influences: Parents in leadership positions in low-/mid-SES and high-SES schools in Israel. </w:t>
      </w:r>
      <w:r w:rsidRPr="00CA64CE">
        <w:rPr>
          <w:rFonts w:ascii="David" w:hAnsi="David" w:cs="David"/>
          <w:i/>
          <w:iCs/>
          <w:sz w:val="24"/>
          <w:szCs w:val="24"/>
        </w:rPr>
        <w:t>Educational Administration Quarterly</w:t>
      </w:r>
      <w:r w:rsidRPr="00CA64CE">
        <w:rPr>
          <w:rFonts w:ascii="David" w:hAnsi="David" w:cs="David"/>
          <w:sz w:val="24"/>
          <w:szCs w:val="24"/>
        </w:rPr>
        <w:t xml:space="preserve">, </w:t>
      </w:r>
      <w:r w:rsidRPr="00CA64CE">
        <w:rPr>
          <w:rFonts w:ascii="David" w:hAnsi="David" w:cs="David"/>
          <w:i/>
          <w:iCs/>
          <w:sz w:val="24"/>
          <w:szCs w:val="24"/>
        </w:rPr>
        <w:t>56</w:t>
      </w:r>
      <w:r w:rsidRPr="00CA64CE">
        <w:rPr>
          <w:rFonts w:ascii="David" w:hAnsi="David" w:cs="David"/>
          <w:sz w:val="24"/>
          <w:szCs w:val="24"/>
        </w:rPr>
        <w:t>(4), 600-640.</w:t>
      </w:r>
      <w:r w:rsidRPr="00CA64CE">
        <w:rPr>
          <w:rFonts w:ascii="David" w:hAnsi="David" w:cs="David"/>
          <w:sz w:val="24"/>
          <w:szCs w:val="24"/>
          <w:rtl/>
        </w:rPr>
        <w:t>‏</w:t>
      </w:r>
    </w:p>
    <w:p w14:paraId="18257F96" w14:textId="77777777" w:rsidR="007F07B6" w:rsidRDefault="007F07B6" w:rsidP="007F07B6">
      <w:pPr>
        <w:bidi w:val="0"/>
        <w:spacing w:line="360" w:lineRule="auto"/>
        <w:jc w:val="both"/>
        <w:rPr>
          <w:rFonts w:ascii="David" w:hAnsi="David" w:cs="David"/>
          <w:sz w:val="24"/>
          <w:szCs w:val="24"/>
        </w:rPr>
      </w:pPr>
      <w:r w:rsidRPr="007F07B6">
        <w:rPr>
          <w:rFonts w:ascii="David" w:hAnsi="David" w:cs="David"/>
          <w:sz w:val="24"/>
          <w:szCs w:val="24"/>
        </w:rPr>
        <w:t xml:space="preserve">Bourdieu, P. (2011). The forms of </w:t>
      </w:r>
      <w:proofErr w:type="gramStart"/>
      <w:r w:rsidRPr="007F07B6">
        <w:rPr>
          <w:rFonts w:ascii="David" w:hAnsi="David" w:cs="David"/>
          <w:sz w:val="24"/>
          <w:szCs w:val="24"/>
        </w:rPr>
        <w:t>capital.(</w:t>
      </w:r>
      <w:proofErr w:type="gramEnd"/>
      <w:r w:rsidRPr="007F07B6">
        <w:rPr>
          <w:rFonts w:ascii="David" w:hAnsi="David" w:cs="David"/>
          <w:sz w:val="24"/>
          <w:szCs w:val="24"/>
        </w:rPr>
        <w:t>1986). </w:t>
      </w:r>
      <w:r w:rsidRPr="007F07B6">
        <w:rPr>
          <w:rFonts w:ascii="David" w:hAnsi="David" w:cs="David"/>
          <w:i/>
          <w:iCs/>
          <w:sz w:val="24"/>
          <w:szCs w:val="24"/>
        </w:rPr>
        <w:t>Cultural theory: An anthology</w:t>
      </w:r>
      <w:r w:rsidRPr="007F07B6">
        <w:rPr>
          <w:rFonts w:ascii="David" w:hAnsi="David" w:cs="David"/>
          <w:sz w:val="24"/>
          <w:szCs w:val="24"/>
        </w:rPr>
        <w:t>, </w:t>
      </w:r>
      <w:r w:rsidRPr="007F07B6">
        <w:rPr>
          <w:rFonts w:ascii="David" w:hAnsi="David" w:cs="David"/>
          <w:i/>
          <w:iCs/>
          <w:sz w:val="24"/>
          <w:szCs w:val="24"/>
        </w:rPr>
        <w:t>1</w:t>
      </w:r>
      <w:r w:rsidRPr="007F07B6">
        <w:rPr>
          <w:rFonts w:ascii="David" w:hAnsi="David" w:cs="David"/>
          <w:sz w:val="24"/>
          <w:szCs w:val="24"/>
        </w:rPr>
        <w:t>(81-93), 949.</w:t>
      </w:r>
      <w:r w:rsidRPr="007F07B6">
        <w:rPr>
          <w:rFonts w:ascii="David" w:hAnsi="David" w:cs="David"/>
          <w:sz w:val="24"/>
          <w:szCs w:val="24"/>
          <w:rtl/>
        </w:rPr>
        <w:t>‏</w:t>
      </w:r>
    </w:p>
    <w:p w14:paraId="756A5BB8" w14:textId="77777777" w:rsidR="00CA64CE" w:rsidRDefault="00CA64CE" w:rsidP="00CA64CE">
      <w:pPr>
        <w:spacing w:line="360" w:lineRule="auto"/>
        <w:jc w:val="right"/>
        <w:rPr>
          <w:rFonts w:ascii="David" w:hAnsi="David" w:cs="David" w:hint="cs"/>
          <w:sz w:val="24"/>
          <w:szCs w:val="24"/>
          <w:rtl/>
        </w:rPr>
      </w:pPr>
      <w:r w:rsidRPr="00CA64CE">
        <w:rPr>
          <w:rFonts w:ascii="David" w:hAnsi="David" w:cs="David"/>
          <w:sz w:val="24"/>
          <w:szCs w:val="24"/>
        </w:rPr>
        <w:t>Corcoran, S. P., &amp; Cordes, S. A. (2017). The economics of school choice. The Wiley handbook of school choice, 69-80.</w:t>
      </w:r>
      <w:r w:rsidRPr="00CA64CE">
        <w:rPr>
          <w:rFonts w:ascii="David" w:hAnsi="David" w:cs="David"/>
          <w:sz w:val="24"/>
          <w:szCs w:val="24"/>
          <w:rtl/>
        </w:rPr>
        <w:t>‏</w:t>
      </w:r>
      <w:r w:rsidRPr="00CA64CE">
        <w:rPr>
          <w:rFonts w:ascii="David" w:hAnsi="David" w:cs="David"/>
          <w:sz w:val="24"/>
          <w:szCs w:val="24"/>
        </w:rPr>
        <w:t xml:space="preserve"> </w:t>
      </w:r>
      <w:r w:rsidR="00CC1BEB" w:rsidRPr="00CA64CE">
        <w:rPr>
          <w:rFonts w:ascii="David" w:hAnsi="David" w:cs="David"/>
          <w:sz w:val="24"/>
          <w:szCs w:val="24"/>
        </w:rPr>
        <w:t xml:space="preserve">Eden, C. A., Chisom, O. N., &amp; Adeniyi, I. S. (2024). </w:t>
      </w:r>
    </w:p>
    <w:p w14:paraId="0C41ACCD" w14:textId="267F1C38" w:rsidR="00CC1BEB" w:rsidRPr="00CA64CE" w:rsidRDefault="00CC1BEB" w:rsidP="00CA64CE">
      <w:pPr>
        <w:spacing w:line="360" w:lineRule="auto"/>
        <w:jc w:val="right"/>
        <w:rPr>
          <w:rFonts w:ascii="David" w:hAnsi="David" w:cs="David"/>
          <w:sz w:val="24"/>
          <w:szCs w:val="24"/>
        </w:rPr>
      </w:pPr>
      <w:r w:rsidRPr="00CA64CE">
        <w:rPr>
          <w:rFonts w:ascii="David" w:hAnsi="David" w:cs="David"/>
          <w:sz w:val="24"/>
          <w:szCs w:val="24"/>
        </w:rPr>
        <w:t>Parent and community involvement in education: strengthening partnerships for social improvement. </w:t>
      </w:r>
      <w:r w:rsidRPr="00CA64CE">
        <w:rPr>
          <w:rFonts w:ascii="David" w:hAnsi="David" w:cs="David"/>
          <w:i/>
          <w:iCs/>
          <w:sz w:val="24"/>
          <w:szCs w:val="24"/>
        </w:rPr>
        <w:t>International Journal of Applied Research in Social Sciences</w:t>
      </w:r>
      <w:r w:rsidRPr="00CA64CE">
        <w:rPr>
          <w:rFonts w:ascii="David" w:hAnsi="David" w:cs="David"/>
          <w:sz w:val="24"/>
          <w:szCs w:val="24"/>
        </w:rPr>
        <w:t>, </w:t>
      </w:r>
      <w:r w:rsidRPr="00CA64CE">
        <w:rPr>
          <w:rFonts w:ascii="David" w:hAnsi="David" w:cs="David"/>
          <w:i/>
          <w:iCs/>
          <w:sz w:val="24"/>
          <w:szCs w:val="24"/>
        </w:rPr>
        <w:t>6</w:t>
      </w:r>
      <w:r w:rsidRPr="00CA64CE">
        <w:rPr>
          <w:rFonts w:ascii="David" w:hAnsi="David" w:cs="David"/>
          <w:sz w:val="24"/>
          <w:szCs w:val="24"/>
        </w:rPr>
        <w:t>(3), 372-382.</w:t>
      </w:r>
    </w:p>
    <w:p w14:paraId="1D48323C" w14:textId="77777777" w:rsidR="00CC1BEB" w:rsidRPr="00CA64CE" w:rsidRDefault="00CC1BEB" w:rsidP="00CC1BEB">
      <w:pPr>
        <w:bidi w:val="0"/>
        <w:spacing w:line="360" w:lineRule="auto"/>
        <w:jc w:val="both"/>
        <w:rPr>
          <w:rFonts w:ascii="David" w:hAnsi="David" w:cs="David"/>
          <w:sz w:val="24"/>
          <w:szCs w:val="24"/>
        </w:rPr>
      </w:pPr>
      <w:r w:rsidRPr="00CA64CE">
        <w:rPr>
          <w:rFonts w:ascii="David" w:hAnsi="David" w:cs="David"/>
          <w:sz w:val="24"/>
          <w:szCs w:val="24"/>
        </w:rPr>
        <w:t xml:space="preserve">Hameiri, L., Nir, A., &amp; Inbar, D. E. (2014). Confronting uncertainty and risk: The contribution of leadership to school outcomes. </w:t>
      </w:r>
      <w:r w:rsidRPr="00CA64CE">
        <w:rPr>
          <w:rFonts w:ascii="David" w:hAnsi="David" w:cs="David"/>
          <w:i/>
          <w:iCs/>
          <w:sz w:val="24"/>
          <w:szCs w:val="24"/>
        </w:rPr>
        <w:t xml:space="preserve">Planning and </w:t>
      </w:r>
      <w:proofErr w:type="gramStart"/>
      <w:r w:rsidRPr="00CA64CE">
        <w:rPr>
          <w:rFonts w:ascii="David" w:hAnsi="David" w:cs="David"/>
          <w:i/>
          <w:iCs/>
          <w:sz w:val="24"/>
          <w:szCs w:val="24"/>
        </w:rPr>
        <w:t>Changing</w:t>
      </w:r>
      <w:proofErr w:type="gramEnd"/>
      <w:r w:rsidRPr="00CA64CE">
        <w:rPr>
          <w:rFonts w:ascii="David" w:hAnsi="David" w:cs="David"/>
          <w:sz w:val="24"/>
          <w:szCs w:val="24"/>
        </w:rPr>
        <w:t xml:space="preserve">, </w:t>
      </w:r>
      <w:r w:rsidRPr="00CA64CE">
        <w:rPr>
          <w:rFonts w:ascii="David" w:hAnsi="David" w:cs="David"/>
          <w:i/>
          <w:iCs/>
          <w:sz w:val="24"/>
          <w:szCs w:val="24"/>
        </w:rPr>
        <w:t>45</w:t>
      </w:r>
      <w:r w:rsidRPr="00CA64CE">
        <w:rPr>
          <w:rFonts w:ascii="David" w:hAnsi="David" w:cs="David"/>
          <w:sz w:val="24"/>
          <w:szCs w:val="24"/>
        </w:rPr>
        <w:t>(1/2), 48.</w:t>
      </w:r>
      <w:r w:rsidRPr="00CA64CE">
        <w:rPr>
          <w:rFonts w:ascii="David" w:hAnsi="David" w:cs="David"/>
          <w:sz w:val="24"/>
          <w:szCs w:val="24"/>
          <w:rtl/>
        </w:rPr>
        <w:t>‏</w:t>
      </w:r>
    </w:p>
    <w:p w14:paraId="75BBE922" w14:textId="77777777" w:rsidR="00CC1BEB" w:rsidRPr="00CA64CE" w:rsidRDefault="00CC1BEB" w:rsidP="00CC1BEB">
      <w:pPr>
        <w:bidi w:val="0"/>
        <w:spacing w:line="360" w:lineRule="auto"/>
        <w:jc w:val="both"/>
        <w:rPr>
          <w:rFonts w:ascii="David" w:hAnsi="David" w:cs="David"/>
          <w:sz w:val="24"/>
          <w:szCs w:val="24"/>
          <w:rtl/>
        </w:rPr>
      </w:pPr>
      <w:r w:rsidRPr="00CA64CE">
        <w:rPr>
          <w:rFonts w:ascii="David" w:hAnsi="David" w:cs="David"/>
          <w:sz w:val="24"/>
          <w:szCs w:val="24"/>
        </w:rPr>
        <w:t xml:space="preserve">Hayes, S. D., &amp; Derrington, M. L. (2023). School leadership in uncertain times: identifying dimensions of effective principal leadership. </w:t>
      </w:r>
      <w:r w:rsidRPr="00CA64CE">
        <w:rPr>
          <w:rFonts w:ascii="David" w:hAnsi="David" w:cs="David"/>
          <w:i/>
          <w:iCs/>
          <w:sz w:val="24"/>
          <w:szCs w:val="24"/>
        </w:rPr>
        <w:t>School Leadership &amp; Management</w:t>
      </w:r>
      <w:r w:rsidRPr="00CA64CE">
        <w:rPr>
          <w:rFonts w:ascii="David" w:hAnsi="David" w:cs="David"/>
          <w:sz w:val="24"/>
          <w:szCs w:val="24"/>
        </w:rPr>
        <w:t xml:space="preserve">, </w:t>
      </w:r>
      <w:r w:rsidRPr="00CA64CE">
        <w:rPr>
          <w:rFonts w:ascii="David" w:hAnsi="David" w:cs="David"/>
          <w:i/>
          <w:iCs/>
          <w:sz w:val="24"/>
          <w:szCs w:val="24"/>
        </w:rPr>
        <w:t>43</w:t>
      </w:r>
      <w:r w:rsidRPr="00CA64CE">
        <w:rPr>
          <w:rFonts w:ascii="David" w:hAnsi="David" w:cs="David"/>
          <w:sz w:val="24"/>
          <w:szCs w:val="24"/>
        </w:rPr>
        <w:t>(4), 330-347.</w:t>
      </w:r>
      <w:r w:rsidRPr="00CA64CE">
        <w:rPr>
          <w:rFonts w:ascii="David" w:hAnsi="David" w:cs="David"/>
          <w:sz w:val="24"/>
          <w:szCs w:val="24"/>
          <w:rtl/>
        </w:rPr>
        <w:t>‏</w:t>
      </w:r>
    </w:p>
    <w:p w14:paraId="44EBA62D" w14:textId="77777777" w:rsidR="00CC1BEB" w:rsidRPr="00CA64CE" w:rsidRDefault="00CC1BEB" w:rsidP="00CC1BEB">
      <w:pPr>
        <w:spacing w:line="360" w:lineRule="auto"/>
        <w:jc w:val="right"/>
        <w:rPr>
          <w:rFonts w:ascii="David" w:hAnsi="David" w:cs="David"/>
          <w:sz w:val="24"/>
          <w:szCs w:val="24"/>
        </w:rPr>
      </w:pPr>
      <w:r w:rsidRPr="00CA64CE">
        <w:rPr>
          <w:rFonts w:ascii="David" w:hAnsi="David" w:cs="David"/>
          <w:sz w:val="24"/>
          <w:szCs w:val="24"/>
        </w:rPr>
        <w:t>Hornby, G., &amp; Lafaele, R. (2023). Barriers to parental involvement in education: An explanatory model. In </w:t>
      </w:r>
      <w:r w:rsidRPr="00CA64CE">
        <w:rPr>
          <w:rFonts w:ascii="David" w:hAnsi="David" w:cs="David"/>
          <w:i/>
          <w:iCs/>
          <w:sz w:val="24"/>
          <w:szCs w:val="24"/>
        </w:rPr>
        <w:t>Mapping the Field</w:t>
      </w:r>
      <w:r w:rsidRPr="00CA64CE">
        <w:rPr>
          <w:rFonts w:ascii="David" w:hAnsi="David" w:cs="David"/>
          <w:sz w:val="24"/>
          <w:szCs w:val="24"/>
        </w:rPr>
        <w:t> (</w:t>
      </w:r>
      <w:proofErr w:type="gramStart"/>
      <w:r w:rsidRPr="00CA64CE">
        <w:rPr>
          <w:rFonts w:ascii="David" w:hAnsi="David" w:cs="David"/>
          <w:sz w:val="24"/>
          <w:szCs w:val="24"/>
        </w:rPr>
        <w:t>pp</w:t>
      </w:r>
      <w:proofErr w:type="gramEnd"/>
      <w:r w:rsidRPr="00CA64CE">
        <w:rPr>
          <w:rFonts w:ascii="David" w:hAnsi="David" w:cs="David"/>
          <w:sz w:val="24"/>
          <w:szCs w:val="24"/>
        </w:rPr>
        <w:t>. 121-136). Routledge.</w:t>
      </w:r>
      <w:r w:rsidRPr="00CA64CE">
        <w:rPr>
          <w:rFonts w:ascii="David" w:hAnsi="David" w:cs="David"/>
          <w:sz w:val="24"/>
          <w:szCs w:val="24"/>
          <w:rtl/>
        </w:rPr>
        <w:t>‏</w:t>
      </w:r>
    </w:p>
    <w:p w14:paraId="1F52EAAF" w14:textId="77777777" w:rsidR="00CC1BEB" w:rsidRPr="00CA64CE" w:rsidRDefault="00CC1BEB" w:rsidP="00CC1BEB">
      <w:pPr>
        <w:bidi w:val="0"/>
        <w:spacing w:line="360" w:lineRule="auto"/>
        <w:jc w:val="both"/>
        <w:rPr>
          <w:rFonts w:ascii="David" w:hAnsi="David" w:cs="David"/>
          <w:sz w:val="24"/>
          <w:szCs w:val="24"/>
        </w:rPr>
      </w:pPr>
      <w:r w:rsidRPr="00CA64CE">
        <w:rPr>
          <w:rFonts w:ascii="David" w:hAnsi="David" w:cs="David"/>
          <w:sz w:val="24"/>
          <w:szCs w:val="24"/>
        </w:rPr>
        <w:t xml:space="preserve">Horvat, E. M., Curci, J. D., &amp; Partlow, M. C. (2010). Parents, principals, and power: A historical case study of “managing” parental involvement. </w:t>
      </w:r>
      <w:r w:rsidRPr="00CA64CE">
        <w:rPr>
          <w:rFonts w:ascii="David" w:hAnsi="David" w:cs="David"/>
          <w:i/>
          <w:iCs/>
          <w:sz w:val="24"/>
          <w:szCs w:val="24"/>
        </w:rPr>
        <w:t>Journal of School Leadership</w:t>
      </w:r>
      <w:r w:rsidRPr="00CA64CE">
        <w:rPr>
          <w:rFonts w:ascii="David" w:hAnsi="David" w:cs="David"/>
          <w:sz w:val="24"/>
          <w:szCs w:val="24"/>
        </w:rPr>
        <w:t xml:space="preserve">, </w:t>
      </w:r>
      <w:r w:rsidRPr="00CA64CE">
        <w:rPr>
          <w:rFonts w:ascii="David" w:hAnsi="David" w:cs="David"/>
          <w:i/>
          <w:iCs/>
          <w:sz w:val="24"/>
          <w:szCs w:val="24"/>
        </w:rPr>
        <w:t>20</w:t>
      </w:r>
      <w:r w:rsidRPr="00CA64CE">
        <w:rPr>
          <w:rFonts w:ascii="David" w:hAnsi="David" w:cs="David"/>
          <w:sz w:val="24"/>
          <w:szCs w:val="24"/>
        </w:rPr>
        <w:t>(6), 702-726.</w:t>
      </w:r>
      <w:r w:rsidRPr="00CA64CE">
        <w:rPr>
          <w:rFonts w:ascii="David" w:hAnsi="David" w:cs="David"/>
          <w:sz w:val="24"/>
          <w:szCs w:val="24"/>
          <w:rtl/>
        </w:rPr>
        <w:t>‏</w:t>
      </w:r>
    </w:p>
    <w:p w14:paraId="55FC831D" w14:textId="727BEB20" w:rsidR="00CA64CE" w:rsidRDefault="00CC1BEB" w:rsidP="00CA64CE">
      <w:pPr>
        <w:bidi w:val="0"/>
        <w:spacing w:line="360" w:lineRule="auto"/>
        <w:jc w:val="both"/>
        <w:rPr>
          <w:rFonts w:ascii="David" w:hAnsi="David" w:cs="David"/>
          <w:sz w:val="24"/>
          <w:szCs w:val="24"/>
        </w:rPr>
      </w:pPr>
      <w:proofErr w:type="spellStart"/>
      <w:r w:rsidRPr="00CA64CE">
        <w:rPr>
          <w:rFonts w:ascii="David" w:hAnsi="David" w:cs="David"/>
          <w:sz w:val="24"/>
          <w:szCs w:val="24"/>
        </w:rPr>
        <w:t>Jeynes</w:t>
      </w:r>
      <w:proofErr w:type="spellEnd"/>
      <w:r w:rsidRPr="00CA64CE">
        <w:rPr>
          <w:rFonts w:ascii="David" w:hAnsi="David" w:cs="David"/>
          <w:sz w:val="24"/>
          <w:szCs w:val="24"/>
        </w:rPr>
        <w:t>, W. H. (2018). A practical model for school leaders to encourage parental involvement and parental engagement. </w:t>
      </w:r>
      <w:r w:rsidRPr="00CA64CE">
        <w:rPr>
          <w:rFonts w:ascii="David" w:hAnsi="David" w:cs="David"/>
          <w:i/>
          <w:iCs/>
          <w:sz w:val="24"/>
          <w:szCs w:val="24"/>
        </w:rPr>
        <w:t>School Leadership &amp; Management</w:t>
      </w:r>
      <w:r w:rsidRPr="00CA64CE">
        <w:rPr>
          <w:rFonts w:ascii="David" w:hAnsi="David" w:cs="David"/>
          <w:sz w:val="24"/>
          <w:szCs w:val="24"/>
        </w:rPr>
        <w:t>, </w:t>
      </w:r>
      <w:r w:rsidRPr="00CA64CE">
        <w:rPr>
          <w:rFonts w:ascii="David" w:hAnsi="David" w:cs="David"/>
          <w:i/>
          <w:iCs/>
          <w:sz w:val="24"/>
          <w:szCs w:val="24"/>
        </w:rPr>
        <w:t>38</w:t>
      </w:r>
      <w:r w:rsidRPr="00CA64CE">
        <w:rPr>
          <w:rFonts w:ascii="David" w:hAnsi="David" w:cs="David"/>
          <w:sz w:val="24"/>
          <w:szCs w:val="24"/>
        </w:rPr>
        <w:t>(2), 147-163.</w:t>
      </w:r>
      <w:r w:rsidRPr="00CA64CE">
        <w:rPr>
          <w:rFonts w:ascii="David" w:hAnsi="David" w:cs="David"/>
          <w:sz w:val="24"/>
          <w:szCs w:val="24"/>
          <w:rtl/>
        </w:rPr>
        <w:t>‏</w:t>
      </w:r>
    </w:p>
    <w:p w14:paraId="08E18066" w14:textId="77777777" w:rsidR="00CA64CE" w:rsidRPr="00CA64CE" w:rsidRDefault="00CA64CE" w:rsidP="00CA64CE">
      <w:pPr>
        <w:bidi w:val="0"/>
        <w:spacing w:line="360" w:lineRule="auto"/>
        <w:jc w:val="both"/>
        <w:rPr>
          <w:rFonts w:ascii="David" w:hAnsi="David" w:cs="David"/>
          <w:sz w:val="24"/>
          <w:szCs w:val="24"/>
        </w:rPr>
      </w:pPr>
      <w:r w:rsidRPr="00CA64CE">
        <w:rPr>
          <w:rFonts w:ascii="David" w:hAnsi="David" w:cs="David"/>
          <w:sz w:val="24"/>
          <w:szCs w:val="24"/>
        </w:rPr>
        <w:t xml:space="preserve">Keddie, A., Gobby, B., &amp; Wilkins, C. (2018). School autonomy reform in Queensland: governance, freedom and the entrepreneurial leader. </w:t>
      </w:r>
      <w:r w:rsidRPr="00CA64CE">
        <w:rPr>
          <w:rFonts w:ascii="David" w:hAnsi="David" w:cs="David"/>
          <w:i/>
          <w:iCs/>
          <w:sz w:val="24"/>
          <w:szCs w:val="24"/>
        </w:rPr>
        <w:t>School Leadership &amp; Management</w:t>
      </w:r>
      <w:r w:rsidRPr="00CA64CE">
        <w:rPr>
          <w:rFonts w:ascii="David" w:hAnsi="David" w:cs="David"/>
          <w:sz w:val="24"/>
          <w:szCs w:val="24"/>
        </w:rPr>
        <w:t xml:space="preserve">, </w:t>
      </w:r>
      <w:r w:rsidRPr="00CA64CE">
        <w:rPr>
          <w:rFonts w:ascii="David" w:hAnsi="David" w:cs="David"/>
          <w:i/>
          <w:iCs/>
          <w:sz w:val="24"/>
          <w:szCs w:val="24"/>
        </w:rPr>
        <w:t>38</w:t>
      </w:r>
      <w:r w:rsidRPr="00CA64CE">
        <w:rPr>
          <w:rFonts w:ascii="David" w:hAnsi="David" w:cs="David"/>
          <w:sz w:val="24"/>
          <w:szCs w:val="24"/>
        </w:rPr>
        <w:t>(4), 378-394.</w:t>
      </w:r>
      <w:r w:rsidRPr="00CA64CE">
        <w:rPr>
          <w:rFonts w:ascii="David" w:hAnsi="David" w:cs="David"/>
          <w:sz w:val="24"/>
          <w:szCs w:val="24"/>
          <w:rtl/>
        </w:rPr>
        <w:t>‏</w:t>
      </w:r>
    </w:p>
    <w:p w14:paraId="79520606" w14:textId="2479213A" w:rsidR="00CC1BEB" w:rsidRPr="00CA64CE" w:rsidRDefault="00CC1BEB" w:rsidP="00CA64CE">
      <w:pPr>
        <w:bidi w:val="0"/>
        <w:spacing w:line="360" w:lineRule="auto"/>
        <w:jc w:val="both"/>
        <w:rPr>
          <w:rFonts w:ascii="David" w:hAnsi="David" w:cs="David"/>
          <w:sz w:val="24"/>
          <w:szCs w:val="24"/>
        </w:rPr>
      </w:pPr>
      <w:r w:rsidRPr="00CA64CE">
        <w:rPr>
          <w:rFonts w:ascii="David" w:hAnsi="David" w:cs="David"/>
          <w:sz w:val="24"/>
          <w:szCs w:val="24"/>
        </w:rPr>
        <w:t xml:space="preserve">Lazaridou, A., &amp; </w:t>
      </w:r>
      <w:proofErr w:type="spellStart"/>
      <w:r w:rsidRPr="00CA64CE">
        <w:rPr>
          <w:rFonts w:ascii="David" w:hAnsi="David" w:cs="David"/>
          <w:sz w:val="24"/>
          <w:szCs w:val="24"/>
        </w:rPr>
        <w:t>Gravani</w:t>
      </w:r>
      <w:proofErr w:type="spellEnd"/>
      <w:r w:rsidRPr="00CA64CE">
        <w:rPr>
          <w:rFonts w:ascii="David" w:hAnsi="David" w:cs="David"/>
          <w:sz w:val="24"/>
          <w:szCs w:val="24"/>
        </w:rPr>
        <w:t xml:space="preserve"> K, A. (2015). Involving parents in secondary schools: Principals’ perspectives in Greece. </w:t>
      </w:r>
      <w:r w:rsidRPr="00CA64CE">
        <w:rPr>
          <w:rFonts w:ascii="David" w:hAnsi="David" w:cs="David"/>
          <w:i/>
          <w:iCs/>
          <w:sz w:val="24"/>
          <w:szCs w:val="24"/>
        </w:rPr>
        <w:t>International Journal of Educational Management</w:t>
      </w:r>
      <w:r w:rsidRPr="00CA64CE">
        <w:rPr>
          <w:rFonts w:ascii="David" w:hAnsi="David" w:cs="David"/>
          <w:sz w:val="24"/>
          <w:szCs w:val="24"/>
        </w:rPr>
        <w:t xml:space="preserve">, </w:t>
      </w:r>
      <w:r w:rsidRPr="00CA64CE">
        <w:rPr>
          <w:rFonts w:ascii="David" w:hAnsi="David" w:cs="David"/>
          <w:i/>
          <w:iCs/>
          <w:sz w:val="24"/>
          <w:szCs w:val="24"/>
        </w:rPr>
        <w:t>29</w:t>
      </w:r>
      <w:r w:rsidRPr="00CA64CE">
        <w:rPr>
          <w:rFonts w:ascii="David" w:hAnsi="David" w:cs="David"/>
          <w:sz w:val="24"/>
          <w:szCs w:val="24"/>
        </w:rPr>
        <w:t>(1), 98-114.</w:t>
      </w:r>
      <w:r w:rsidRPr="00CA64CE">
        <w:rPr>
          <w:rFonts w:ascii="David" w:hAnsi="David" w:cs="David"/>
          <w:sz w:val="24"/>
          <w:szCs w:val="24"/>
          <w:rtl/>
        </w:rPr>
        <w:t>‏</w:t>
      </w:r>
    </w:p>
    <w:p w14:paraId="5ABDFDE7" w14:textId="6E8B46BB" w:rsidR="00CC1BEB" w:rsidRPr="00CA64CE" w:rsidRDefault="00CC1BEB" w:rsidP="00CC1BEB">
      <w:pPr>
        <w:spacing w:line="360" w:lineRule="auto"/>
        <w:jc w:val="right"/>
        <w:rPr>
          <w:rFonts w:ascii="David" w:hAnsi="David" w:cs="David"/>
          <w:sz w:val="24"/>
          <w:szCs w:val="24"/>
        </w:rPr>
      </w:pPr>
      <w:r w:rsidRPr="00CA64CE">
        <w:rPr>
          <w:rFonts w:ascii="David" w:hAnsi="David" w:cs="David"/>
          <w:sz w:val="24"/>
          <w:szCs w:val="24"/>
        </w:rPr>
        <w:t xml:space="preserve">MacDonald, K. (2024). </w:t>
      </w:r>
      <w:proofErr w:type="spellStart"/>
      <w:r w:rsidRPr="00CA64CE">
        <w:rPr>
          <w:rFonts w:ascii="David" w:hAnsi="David" w:cs="David"/>
          <w:sz w:val="24"/>
          <w:szCs w:val="24"/>
        </w:rPr>
        <w:t>Theorising</w:t>
      </w:r>
      <w:proofErr w:type="spellEnd"/>
      <w:r w:rsidRPr="00CA64CE">
        <w:rPr>
          <w:rFonts w:ascii="David" w:hAnsi="David" w:cs="David"/>
          <w:sz w:val="24"/>
          <w:szCs w:val="24"/>
        </w:rPr>
        <w:t xml:space="preserve"> the Educational Leadership Field</w:t>
      </w:r>
      <w:r w:rsidR="007F07B6">
        <w:rPr>
          <w:rFonts w:ascii="David" w:hAnsi="David" w:cs="David"/>
          <w:sz w:val="24"/>
          <w:szCs w:val="24"/>
        </w:rPr>
        <w:t>-</w:t>
      </w:r>
      <w:r w:rsidRPr="00CA64CE">
        <w:rPr>
          <w:rFonts w:ascii="David" w:hAnsi="David" w:cs="David"/>
          <w:sz w:val="24"/>
          <w:szCs w:val="24"/>
        </w:rPr>
        <w:t>Harnessing Bourdieu. In </w:t>
      </w:r>
      <w:r w:rsidRPr="00CA64CE">
        <w:rPr>
          <w:rFonts w:ascii="David" w:hAnsi="David" w:cs="David"/>
          <w:i/>
          <w:iCs/>
          <w:sz w:val="24"/>
          <w:szCs w:val="24"/>
        </w:rPr>
        <w:t xml:space="preserve">Socially Just Educational Leadership in Unjust Times: A </w:t>
      </w:r>
      <w:proofErr w:type="spellStart"/>
      <w:r w:rsidRPr="00CA64CE">
        <w:rPr>
          <w:rFonts w:ascii="David" w:hAnsi="David" w:cs="David"/>
          <w:i/>
          <w:iCs/>
          <w:sz w:val="24"/>
          <w:szCs w:val="24"/>
        </w:rPr>
        <w:t>Bourdieusian</w:t>
      </w:r>
      <w:proofErr w:type="spellEnd"/>
      <w:r w:rsidRPr="00CA64CE">
        <w:rPr>
          <w:rFonts w:ascii="David" w:hAnsi="David" w:cs="David"/>
          <w:i/>
          <w:iCs/>
          <w:sz w:val="24"/>
          <w:szCs w:val="24"/>
        </w:rPr>
        <w:t xml:space="preserve"> Study of Social Justice Educational Leadership Practices</w:t>
      </w:r>
      <w:r w:rsidRPr="00CA64CE">
        <w:rPr>
          <w:rFonts w:ascii="David" w:hAnsi="David" w:cs="David"/>
          <w:sz w:val="24"/>
          <w:szCs w:val="24"/>
        </w:rPr>
        <w:t> (pp. 37-61). Cham: Springer International Publishing.</w:t>
      </w:r>
      <w:r w:rsidRPr="00CA64CE">
        <w:rPr>
          <w:rFonts w:ascii="David" w:hAnsi="David" w:cs="David"/>
          <w:sz w:val="24"/>
          <w:szCs w:val="24"/>
          <w:rtl/>
        </w:rPr>
        <w:t>‏</w:t>
      </w:r>
    </w:p>
    <w:p w14:paraId="116E9E94" w14:textId="77777777" w:rsidR="00CC1BEB" w:rsidRDefault="00CC1BEB" w:rsidP="00CC1BEB">
      <w:pPr>
        <w:bidi w:val="0"/>
        <w:spacing w:line="360" w:lineRule="auto"/>
        <w:jc w:val="both"/>
        <w:rPr>
          <w:rFonts w:ascii="David" w:hAnsi="David" w:cs="David"/>
          <w:sz w:val="24"/>
          <w:szCs w:val="24"/>
        </w:rPr>
      </w:pPr>
      <w:r w:rsidRPr="00CA64CE">
        <w:rPr>
          <w:rFonts w:ascii="David" w:hAnsi="David" w:cs="David"/>
          <w:sz w:val="24"/>
          <w:szCs w:val="24"/>
        </w:rPr>
        <w:lastRenderedPageBreak/>
        <w:t>Skelton, C. (2023). Men teachers and the “</w:t>
      </w:r>
      <w:proofErr w:type="spellStart"/>
      <w:r w:rsidRPr="00CA64CE">
        <w:rPr>
          <w:rFonts w:ascii="David" w:hAnsi="David" w:cs="David"/>
          <w:sz w:val="24"/>
          <w:szCs w:val="24"/>
        </w:rPr>
        <w:t>feminised</w:t>
      </w:r>
      <w:proofErr w:type="spellEnd"/>
      <w:r w:rsidRPr="00CA64CE">
        <w:rPr>
          <w:rFonts w:ascii="David" w:hAnsi="David" w:cs="David"/>
          <w:sz w:val="24"/>
          <w:szCs w:val="24"/>
        </w:rPr>
        <w:t>” primary school: A review of the literature. </w:t>
      </w:r>
      <w:r w:rsidRPr="00CA64CE">
        <w:rPr>
          <w:rFonts w:ascii="David" w:hAnsi="David" w:cs="David"/>
          <w:i/>
          <w:iCs/>
          <w:sz w:val="24"/>
          <w:szCs w:val="24"/>
        </w:rPr>
        <w:t>Mapping the Field</w:t>
      </w:r>
      <w:r w:rsidRPr="00CA64CE">
        <w:rPr>
          <w:rFonts w:ascii="David" w:hAnsi="David" w:cs="David"/>
          <w:sz w:val="24"/>
          <w:szCs w:val="24"/>
        </w:rPr>
        <w:t>,</w:t>
      </w:r>
      <w:r w:rsidRPr="00142DD0">
        <w:rPr>
          <w:rFonts w:ascii="David" w:hAnsi="David" w:cs="David"/>
          <w:sz w:val="24"/>
          <w:szCs w:val="24"/>
        </w:rPr>
        <w:t xml:space="preserve"> 4-22.</w:t>
      </w:r>
      <w:r w:rsidRPr="00142DD0">
        <w:rPr>
          <w:rFonts w:ascii="David" w:hAnsi="David" w:cs="David"/>
          <w:sz w:val="24"/>
          <w:szCs w:val="24"/>
          <w:rtl/>
        </w:rPr>
        <w:t>‏</w:t>
      </w:r>
    </w:p>
    <w:p w14:paraId="130CA7A2" w14:textId="77777777" w:rsidR="00CC1BEB" w:rsidRDefault="00CC1BEB" w:rsidP="00CC1BEB">
      <w:pPr>
        <w:spacing w:line="360" w:lineRule="auto"/>
        <w:jc w:val="right"/>
        <w:rPr>
          <w:rFonts w:ascii="David" w:hAnsi="David" w:cs="David"/>
          <w:sz w:val="24"/>
          <w:szCs w:val="24"/>
          <w:rtl/>
        </w:rPr>
      </w:pPr>
      <w:r w:rsidRPr="0095439E">
        <w:rPr>
          <w:rFonts w:ascii="David" w:hAnsi="David" w:cs="David"/>
          <w:sz w:val="24"/>
          <w:szCs w:val="24"/>
        </w:rPr>
        <w:t xml:space="preserve">Yulianti, K., </w:t>
      </w:r>
      <w:proofErr w:type="spellStart"/>
      <w:r w:rsidRPr="0095439E">
        <w:rPr>
          <w:rFonts w:ascii="David" w:hAnsi="David" w:cs="David"/>
          <w:sz w:val="24"/>
          <w:szCs w:val="24"/>
        </w:rPr>
        <w:t>Denessen</w:t>
      </w:r>
      <w:proofErr w:type="spellEnd"/>
      <w:r w:rsidRPr="0095439E">
        <w:rPr>
          <w:rFonts w:ascii="David" w:hAnsi="David" w:cs="David"/>
          <w:sz w:val="24"/>
          <w:szCs w:val="24"/>
        </w:rPr>
        <w:t>, E., Droop, M., &amp; Veerman, G. J. (2022). School efforts to promote parental involvement: the contributions of school leaders and teachers. </w:t>
      </w:r>
      <w:r w:rsidRPr="0095439E">
        <w:rPr>
          <w:rFonts w:ascii="David" w:hAnsi="David" w:cs="David"/>
          <w:i/>
          <w:iCs/>
          <w:sz w:val="24"/>
          <w:szCs w:val="24"/>
        </w:rPr>
        <w:t>Educational Studies</w:t>
      </w:r>
      <w:r w:rsidRPr="0095439E">
        <w:rPr>
          <w:rFonts w:ascii="David" w:hAnsi="David" w:cs="David"/>
          <w:sz w:val="24"/>
          <w:szCs w:val="24"/>
        </w:rPr>
        <w:t>, </w:t>
      </w:r>
      <w:r w:rsidRPr="0095439E">
        <w:rPr>
          <w:rFonts w:ascii="David" w:hAnsi="David" w:cs="David"/>
          <w:i/>
          <w:iCs/>
          <w:sz w:val="24"/>
          <w:szCs w:val="24"/>
        </w:rPr>
        <w:t>48</w:t>
      </w:r>
      <w:r w:rsidRPr="0095439E">
        <w:rPr>
          <w:rFonts w:ascii="David" w:hAnsi="David" w:cs="David"/>
          <w:sz w:val="24"/>
          <w:szCs w:val="24"/>
        </w:rPr>
        <w:t>(1), 98-113.</w:t>
      </w:r>
      <w:r w:rsidRPr="0095439E">
        <w:rPr>
          <w:rFonts w:ascii="David" w:hAnsi="David" w:cs="David"/>
          <w:sz w:val="24"/>
          <w:szCs w:val="24"/>
          <w:rtl/>
        </w:rPr>
        <w:t>‏</w:t>
      </w:r>
    </w:p>
    <w:p w14:paraId="6787BFB3" w14:textId="77777777" w:rsidR="00CC1BEB" w:rsidRPr="00D768D5" w:rsidRDefault="00CC1BEB" w:rsidP="00CC1BEB">
      <w:pPr>
        <w:spacing w:line="360" w:lineRule="auto"/>
        <w:jc w:val="both"/>
        <w:rPr>
          <w:rFonts w:ascii="David" w:hAnsi="David" w:cs="David"/>
          <w:sz w:val="24"/>
          <w:szCs w:val="24"/>
        </w:rPr>
      </w:pPr>
      <w:r>
        <w:rPr>
          <w:rFonts w:ascii="David" w:hAnsi="David" w:cs="David" w:hint="cs"/>
          <w:sz w:val="24"/>
          <w:szCs w:val="24"/>
          <w:rtl/>
        </w:rPr>
        <w:t xml:space="preserve"> </w:t>
      </w:r>
    </w:p>
    <w:p w14:paraId="5DD22BAA" w14:textId="77777777" w:rsidR="00CC1BEB" w:rsidRDefault="00CC1BEB" w:rsidP="00CC1BEB"/>
    <w:p w14:paraId="44DD6AD7" w14:textId="77777777" w:rsidR="000A6F11" w:rsidRDefault="000A6F11"/>
    <w:sectPr w:rsidR="000A6F11" w:rsidSect="000A6F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AC25" w14:textId="77777777" w:rsidR="000E73BE" w:rsidRDefault="000E73BE" w:rsidP="00CC1BEB">
      <w:pPr>
        <w:spacing w:after="0" w:line="240" w:lineRule="auto"/>
      </w:pPr>
      <w:r>
        <w:separator/>
      </w:r>
    </w:p>
  </w:endnote>
  <w:endnote w:type="continuationSeparator" w:id="0">
    <w:p w14:paraId="17EE7F0E" w14:textId="77777777" w:rsidR="000E73BE" w:rsidRDefault="000E73BE" w:rsidP="00CC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822B" w14:textId="77777777" w:rsidR="000E73BE" w:rsidRDefault="000E73BE" w:rsidP="00CC1BEB">
      <w:pPr>
        <w:spacing w:after="0" w:line="240" w:lineRule="auto"/>
      </w:pPr>
      <w:r>
        <w:separator/>
      </w:r>
    </w:p>
  </w:footnote>
  <w:footnote w:type="continuationSeparator" w:id="0">
    <w:p w14:paraId="74640B79" w14:textId="77777777" w:rsidR="000E73BE" w:rsidRDefault="000E73BE" w:rsidP="00CC1BEB">
      <w:pPr>
        <w:spacing w:after="0" w:line="240" w:lineRule="auto"/>
      </w:pPr>
      <w:r>
        <w:continuationSeparator/>
      </w:r>
    </w:p>
  </w:footnote>
  <w:footnote w:id="1">
    <w:p w14:paraId="62E1F957" w14:textId="77777777" w:rsidR="00CC1BEB" w:rsidRDefault="00CC1BEB" w:rsidP="00CC1BEB">
      <w:pPr>
        <w:pStyle w:val="ae"/>
        <w:rPr>
          <w:rtl/>
        </w:rPr>
      </w:pPr>
      <w:r>
        <w:rPr>
          <w:rStyle w:val="af0"/>
        </w:rPr>
        <w:footnoteRef/>
      </w:r>
      <w:r>
        <w:rPr>
          <w:rtl/>
        </w:rPr>
        <w:t xml:space="preserve"> </w:t>
      </w:r>
      <w:r>
        <w:rPr>
          <w:rFonts w:hint="cs"/>
          <w:rtl/>
        </w:rPr>
        <w:t xml:space="preserve">דו"ח מבקר המדינה משנת 2021 קובע כי המנהל הוא המון על ניהול הקשרים בין בית הספר לבין הקהילה ועל יצירת חיבור הדוק עם ההורים למען הצלחת התלמידים (דרכי מינוי והכשרה של מנהלי בתי ספר חדשים. דו"ח ביקורת שנתי 71ג. מבקר המדינה. 2021). </w:t>
      </w:r>
    </w:p>
  </w:footnote>
  <w:footnote w:id="2">
    <w:p w14:paraId="58B054EF" w14:textId="77777777" w:rsidR="008939D9" w:rsidRDefault="008939D9" w:rsidP="008939D9">
      <w:pPr>
        <w:pStyle w:val="ae"/>
      </w:pPr>
      <w:r>
        <w:rPr>
          <w:rStyle w:val="af0"/>
        </w:rPr>
        <w:footnoteRef/>
      </w:r>
      <w:r>
        <w:rPr>
          <w:rtl/>
        </w:rPr>
        <w:t xml:space="preserve"> </w:t>
      </w:r>
      <w:r>
        <w:rPr>
          <w:rFonts w:hint="cs"/>
          <w:rtl/>
        </w:rPr>
        <w:t xml:space="preserve">על </w:t>
      </w:r>
      <w:hyperlink r:id="rId1" w:history="1">
        <w:r w:rsidRPr="00F017A3">
          <w:rPr>
            <w:rStyle w:val="Hyperlink"/>
            <w:rFonts w:hint="cs"/>
            <w:rtl/>
          </w:rPr>
          <w:t>פי דו"ח הלשכה המרכזית לסטטיסטיקה</w:t>
        </w:r>
      </w:hyperlink>
      <w:r>
        <w:rPr>
          <w:rFonts w:hint="cs"/>
          <w:rtl/>
        </w:rPr>
        <w:t xml:space="preserve"> שהתפרסם ביולי 2020, במערכת החינוך הישראלית עובדות כ-82% נשים וכ-18% גברים. </w:t>
      </w:r>
    </w:p>
  </w:footnote>
  <w:footnote w:id="3">
    <w:p w14:paraId="7FB73EC5" w14:textId="77777777" w:rsidR="008939D9" w:rsidRDefault="008939D9" w:rsidP="008939D9">
      <w:pPr>
        <w:pStyle w:val="ae"/>
        <w:rPr>
          <w:rtl/>
        </w:rPr>
      </w:pPr>
      <w:r>
        <w:rPr>
          <w:rStyle w:val="af0"/>
        </w:rPr>
        <w:footnoteRef/>
      </w:r>
      <w:r>
        <w:rPr>
          <w:rtl/>
        </w:rPr>
        <w:t xml:space="preserve"> </w:t>
      </w:r>
      <w:r>
        <w:rPr>
          <w:rFonts w:hint="cs"/>
          <w:rtl/>
        </w:rPr>
        <w:t xml:space="preserve">על פי </w:t>
      </w:r>
      <w:hyperlink r:id="rId2" w:history="1">
        <w:r w:rsidRPr="002723E2">
          <w:rPr>
            <w:rStyle w:val="Hyperlink"/>
            <w:rFonts w:hint="cs"/>
            <w:rtl/>
          </w:rPr>
          <w:t>דו"ח הלשכה המרכזית לסטטיסטיקה</w:t>
        </w:r>
      </w:hyperlink>
      <w:r>
        <w:rPr>
          <w:rFonts w:hint="cs"/>
          <w:rtl/>
        </w:rPr>
        <w:t xml:space="preserve"> שהתפרסם ביולי 2023, בשנים תש"ס (2019/20)- תשפ"ג (2022/23) ניכרת מגמת עלייה באחוז הנשים המנהלות בחינוך היסודי מ64.5% ל-66.7%, ובחינוך העל יסודי מ32.5% ל-51.6%; וכן, בעשור 2010-2022, כ-69% בממוצע מהמנהלים שהוכשרו היו נשים.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040E6"/>
    <w:multiLevelType w:val="hybridMultilevel"/>
    <w:tmpl w:val="67E09352"/>
    <w:lvl w:ilvl="0" w:tplc="C0F4014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191411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EB"/>
    <w:rsid w:val="000A6F11"/>
    <w:rsid w:val="000E73BE"/>
    <w:rsid w:val="00291916"/>
    <w:rsid w:val="007F07B6"/>
    <w:rsid w:val="008939D9"/>
    <w:rsid w:val="00A84C7C"/>
    <w:rsid w:val="00CA64CE"/>
    <w:rsid w:val="00CC1BEB"/>
    <w:rsid w:val="00F346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EDCC"/>
  <w15:chartTrackingRefBased/>
  <w15:docId w15:val="{6B2DD6CD-012B-4F7F-9120-81470583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BEB"/>
    <w:pPr>
      <w:bidi/>
    </w:pPr>
  </w:style>
  <w:style w:type="paragraph" w:styleId="1">
    <w:name w:val="heading 1"/>
    <w:basedOn w:val="a"/>
    <w:next w:val="a"/>
    <w:link w:val="10"/>
    <w:uiPriority w:val="9"/>
    <w:qFormat/>
    <w:rsid w:val="00CC1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C1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C1B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C1B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C1B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C1B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1B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1B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1B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1BE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CC1BE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CC1BE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CC1BEB"/>
    <w:rPr>
      <w:rFonts w:eastAsiaTheme="majorEastAsia" w:cstheme="majorBidi"/>
      <w:i/>
      <w:iCs/>
      <w:color w:val="0F4761" w:themeColor="accent1" w:themeShade="BF"/>
    </w:rPr>
  </w:style>
  <w:style w:type="character" w:customStyle="1" w:styleId="50">
    <w:name w:val="כותרת 5 תו"/>
    <w:basedOn w:val="a0"/>
    <w:link w:val="5"/>
    <w:uiPriority w:val="9"/>
    <w:semiHidden/>
    <w:rsid w:val="00CC1BEB"/>
    <w:rPr>
      <w:rFonts w:eastAsiaTheme="majorEastAsia" w:cstheme="majorBidi"/>
      <w:color w:val="0F4761" w:themeColor="accent1" w:themeShade="BF"/>
    </w:rPr>
  </w:style>
  <w:style w:type="character" w:customStyle="1" w:styleId="60">
    <w:name w:val="כותרת 6 תו"/>
    <w:basedOn w:val="a0"/>
    <w:link w:val="6"/>
    <w:uiPriority w:val="9"/>
    <w:semiHidden/>
    <w:rsid w:val="00CC1BEB"/>
    <w:rPr>
      <w:rFonts w:eastAsiaTheme="majorEastAsia" w:cstheme="majorBidi"/>
      <w:i/>
      <w:iCs/>
      <w:color w:val="595959" w:themeColor="text1" w:themeTint="A6"/>
    </w:rPr>
  </w:style>
  <w:style w:type="character" w:customStyle="1" w:styleId="70">
    <w:name w:val="כותרת 7 תו"/>
    <w:basedOn w:val="a0"/>
    <w:link w:val="7"/>
    <w:uiPriority w:val="9"/>
    <w:semiHidden/>
    <w:rsid w:val="00CC1BEB"/>
    <w:rPr>
      <w:rFonts w:eastAsiaTheme="majorEastAsia" w:cstheme="majorBidi"/>
      <w:color w:val="595959" w:themeColor="text1" w:themeTint="A6"/>
    </w:rPr>
  </w:style>
  <w:style w:type="character" w:customStyle="1" w:styleId="80">
    <w:name w:val="כותרת 8 תו"/>
    <w:basedOn w:val="a0"/>
    <w:link w:val="8"/>
    <w:uiPriority w:val="9"/>
    <w:semiHidden/>
    <w:rsid w:val="00CC1BEB"/>
    <w:rPr>
      <w:rFonts w:eastAsiaTheme="majorEastAsia" w:cstheme="majorBidi"/>
      <w:i/>
      <w:iCs/>
      <w:color w:val="272727" w:themeColor="text1" w:themeTint="D8"/>
    </w:rPr>
  </w:style>
  <w:style w:type="character" w:customStyle="1" w:styleId="90">
    <w:name w:val="כותרת 9 תו"/>
    <w:basedOn w:val="a0"/>
    <w:link w:val="9"/>
    <w:uiPriority w:val="9"/>
    <w:semiHidden/>
    <w:rsid w:val="00CC1BEB"/>
    <w:rPr>
      <w:rFonts w:eastAsiaTheme="majorEastAsia" w:cstheme="majorBidi"/>
      <w:color w:val="272727" w:themeColor="text1" w:themeTint="D8"/>
    </w:rPr>
  </w:style>
  <w:style w:type="paragraph" w:styleId="a3">
    <w:name w:val="Title"/>
    <w:basedOn w:val="a"/>
    <w:next w:val="a"/>
    <w:link w:val="a4"/>
    <w:uiPriority w:val="10"/>
    <w:qFormat/>
    <w:rsid w:val="00CC1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C1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BE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C1BE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C1BEB"/>
    <w:pPr>
      <w:spacing w:before="160"/>
      <w:jc w:val="center"/>
    </w:pPr>
    <w:rPr>
      <w:i/>
      <w:iCs/>
      <w:color w:val="404040" w:themeColor="text1" w:themeTint="BF"/>
    </w:rPr>
  </w:style>
  <w:style w:type="character" w:customStyle="1" w:styleId="a8">
    <w:name w:val="ציטוט תו"/>
    <w:basedOn w:val="a0"/>
    <w:link w:val="a7"/>
    <w:uiPriority w:val="29"/>
    <w:rsid w:val="00CC1BEB"/>
    <w:rPr>
      <w:i/>
      <w:iCs/>
      <w:color w:val="404040" w:themeColor="text1" w:themeTint="BF"/>
    </w:rPr>
  </w:style>
  <w:style w:type="paragraph" w:styleId="a9">
    <w:name w:val="List Paragraph"/>
    <w:basedOn w:val="a"/>
    <w:uiPriority w:val="34"/>
    <w:qFormat/>
    <w:rsid w:val="00CC1BEB"/>
    <w:pPr>
      <w:ind w:left="720"/>
      <w:contextualSpacing/>
    </w:pPr>
  </w:style>
  <w:style w:type="character" w:styleId="aa">
    <w:name w:val="Intense Emphasis"/>
    <w:basedOn w:val="a0"/>
    <w:uiPriority w:val="21"/>
    <w:qFormat/>
    <w:rsid w:val="00CC1BEB"/>
    <w:rPr>
      <w:i/>
      <w:iCs/>
      <w:color w:val="0F4761" w:themeColor="accent1" w:themeShade="BF"/>
    </w:rPr>
  </w:style>
  <w:style w:type="paragraph" w:styleId="ab">
    <w:name w:val="Intense Quote"/>
    <w:basedOn w:val="a"/>
    <w:next w:val="a"/>
    <w:link w:val="ac"/>
    <w:uiPriority w:val="30"/>
    <w:qFormat/>
    <w:rsid w:val="00CC1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CC1BEB"/>
    <w:rPr>
      <w:i/>
      <w:iCs/>
      <w:color w:val="0F4761" w:themeColor="accent1" w:themeShade="BF"/>
    </w:rPr>
  </w:style>
  <w:style w:type="character" w:styleId="ad">
    <w:name w:val="Intense Reference"/>
    <w:basedOn w:val="a0"/>
    <w:uiPriority w:val="32"/>
    <w:qFormat/>
    <w:rsid w:val="00CC1BEB"/>
    <w:rPr>
      <w:b/>
      <w:bCs/>
      <w:smallCaps/>
      <w:color w:val="0F4761" w:themeColor="accent1" w:themeShade="BF"/>
      <w:spacing w:val="5"/>
    </w:rPr>
  </w:style>
  <w:style w:type="paragraph" w:styleId="ae">
    <w:name w:val="footnote text"/>
    <w:basedOn w:val="a"/>
    <w:link w:val="af"/>
    <w:uiPriority w:val="99"/>
    <w:semiHidden/>
    <w:unhideWhenUsed/>
    <w:rsid w:val="00CC1BEB"/>
    <w:pPr>
      <w:spacing w:after="0" w:line="240" w:lineRule="auto"/>
    </w:pPr>
    <w:rPr>
      <w:sz w:val="20"/>
      <w:szCs w:val="20"/>
    </w:rPr>
  </w:style>
  <w:style w:type="character" w:customStyle="1" w:styleId="af">
    <w:name w:val="טקסט הערת שוליים תו"/>
    <w:basedOn w:val="a0"/>
    <w:link w:val="ae"/>
    <w:uiPriority w:val="99"/>
    <w:semiHidden/>
    <w:rsid w:val="00CC1BEB"/>
    <w:rPr>
      <w:sz w:val="20"/>
      <w:szCs w:val="20"/>
    </w:rPr>
  </w:style>
  <w:style w:type="character" w:styleId="af0">
    <w:name w:val="footnote reference"/>
    <w:basedOn w:val="a0"/>
    <w:uiPriority w:val="99"/>
    <w:semiHidden/>
    <w:unhideWhenUsed/>
    <w:rsid w:val="00CC1BEB"/>
    <w:rPr>
      <w:vertAlign w:val="superscript"/>
    </w:rPr>
  </w:style>
  <w:style w:type="character" w:styleId="Hyperlink">
    <w:name w:val="Hyperlink"/>
    <w:basedOn w:val="a0"/>
    <w:uiPriority w:val="99"/>
    <w:unhideWhenUsed/>
    <w:rsid w:val="00CC1B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37625">
      <w:bodyDiv w:val="1"/>
      <w:marLeft w:val="0"/>
      <w:marRight w:val="0"/>
      <w:marTop w:val="0"/>
      <w:marBottom w:val="0"/>
      <w:divBdr>
        <w:top w:val="none" w:sz="0" w:space="0" w:color="auto"/>
        <w:left w:val="none" w:sz="0" w:space="0" w:color="auto"/>
        <w:bottom w:val="none" w:sz="0" w:space="0" w:color="auto"/>
        <w:right w:val="none" w:sz="0" w:space="0" w:color="auto"/>
      </w:divBdr>
    </w:div>
    <w:div w:id="1932085550">
      <w:bodyDiv w:val="1"/>
      <w:marLeft w:val="0"/>
      <w:marRight w:val="0"/>
      <w:marTop w:val="0"/>
      <w:marBottom w:val="0"/>
      <w:divBdr>
        <w:top w:val="none" w:sz="0" w:space="0" w:color="auto"/>
        <w:left w:val="none" w:sz="0" w:space="0" w:color="auto"/>
        <w:bottom w:val="none" w:sz="0" w:space="0" w:color="auto"/>
        <w:right w:val="none" w:sz="0" w:space="0" w:color="auto"/>
      </w:divBdr>
    </w:div>
    <w:div w:id="1944265790">
      <w:bodyDiv w:val="1"/>
      <w:marLeft w:val="0"/>
      <w:marRight w:val="0"/>
      <w:marTop w:val="0"/>
      <w:marBottom w:val="0"/>
      <w:divBdr>
        <w:top w:val="none" w:sz="0" w:space="0" w:color="auto"/>
        <w:left w:val="none" w:sz="0" w:space="0" w:color="auto"/>
        <w:bottom w:val="none" w:sz="0" w:space="0" w:color="auto"/>
        <w:right w:val="none" w:sz="0" w:space="0" w:color="auto"/>
      </w:divBdr>
    </w:div>
    <w:div w:id="20061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bs.gov.il/he/mediarelease/DocLib/2023/212/06_23_212b.pdf" TargetMode="External"/><Relationship Id="rId1" Type="http://schemas.openxmlformats.org/officeDocument/2006/relationships/hyperlink" Target="https://fs.knesset.gov.il/globaldocs/MMM/f0674be3-21c5-ea11-8107-00155d0aee38/2_f0674be3-21c5-ea11-8107-00155d0aee38_11_15180.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788</Words>
  <Characters>3944</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amran</dc:creator>
  <cp:keywords/>
  <dc:description/>
  <cp:lastModifiedBy>gali amran</cp:lastModifiedBy>
  <cp:revision>3</cp:revision>
  <dcterms:created xsi:type="dcterms:W3CDTF">2025-05-25T14:34:00Z</dcterms:created>
  <dcterms:modified xsi:type="dcterms:W3CDTF">2025-05-25T15:14:00Z</dcterms:modified>
</cp:coreProperties>
</file>